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95" w:rsidRPr="00D14DBB" w:rsidRDefault="002A2A95">
      <w:pPr>
        <w:rPr>
          <w:b/>
        </w:rPr>
      </w:pPr>
      <w:r w:rsidRPr="00D14DBB">
        <w:rPr>
          <w:b/>
        </w:rPr>
        <w:t>Characterising Early Functional Recovery Trajectories of Chronic Critically Ill Patients: An Observational Cohort Study.</w:t>
      </w:r>
    </w:p>
    <w:p w:rsidR="002A2A95" w:rsidRPr="00D14DBB" w:rsidRDefault="002A2A95" w:rsidP="002A2A95">
      <w:r w:rsidRPr="00D14DBB">
        <w:t>E.</w:t>
      </w:r>
      <w:r w:rsidR="00C51378" w:rsidRPr="00D14DBB">
        <w:t>J.</w:t>
      </w:r>
      <w:r w:rsidRPr="00D14DBB">
        <w:t xml:space="preserve"> Corner</w:t>
      </w:r>
      <w:r w:rsidRPr="00D14DBB">
        <w:rPr>
          <w:vertAlign w:val="superscript"/>
        </w:rPr>
        <w:t>1</w:t>
      </w:r>
      <w:r w:rsidR="00D14DBB" w:rsidRPr="00D14DBB">
        <w:rPr>
          <w:vertAlign w:val="superscript"/>
        </w:rPr>
        <w:t>,2,5</w:t>
      </w:r>
      <w:r w:rsidRPr="00D14DBB">
        <w:t>, Z. Puthucheary</w:t>
      </w:r>
      <w:r w:rsidR="00D14DBB" w:rsidRPr="00D14DBB">
        <w:t>3</w:t>
      </w:r>
      <w:r w:rsidRPr="00D14DBB">
        <w:t>, A. Cakiroglu</w:t>
      </w:r>
      <w:r w:rsidR="00D14DBB" w:rsidRPr="00D14DBB">
        <w:rPr>
          <w:vertAlign w:val="superscript"/>
        </w:rPr>
        <w:t>4</w:t>
      </w:r>
      <w:r w:rsidRPr="00D14DBB">
        <w:t>,</w:t>
      </w:r>
      <w:r w:rsidR="00B420BA" w:rsidRPr="00D14DBB">
        <w:t xml:space="preserve"> A. Sisson</w:t>
      </w:r>
      <w:r w:rsidR="00D14DBB" w:rsidRPr="00D14DBB">
        <w:rPr>
          <w:vertAlign w:val="superscript"/>
        </w:rPr>
        <w:t>5</w:t>
      </w:r>
      <w:r w:rsidR="00B420BA" w:rsidRPr="00D14DBB">
        <w:t>,</w:t>
      </w:r>
      <w:r w:rsidRPr="00D14DBB">
        <w:t xml:space="preserve"> S.</w:t>
      </w:r>
      <w:r w:rsidR="00C51378" w:rsidRPr="00D14DBB">
        <w:t>J.</w:t>
      </w:r>
      <w:r w:rsidRPr="00D14DBB">
        <w:t xml:space="preserve"> Brett</w:t>
      </w:r>
      <w:r w:rsidR="00D14DBB" w:rsidRPr="00D14DBB">
        <w:rPr>
          <w:vertAlign w:val="superscript"/>
        </w:rPr>
        <w:t>6,7</w:t>
      </w:r>
      <w:r w:rsidRPr="00D14DBB">
        <w:t xml:space="preserve"> </w:t>
      </w:r>
    </w:p>
    <w:p w:rsidR="002A2A95" w:rsidRDefault="002A2A95" w:rsidP="00F6138A">
      <w:pPr>
        <w:jc w:val="both"/>
      </w:pPr>
      <w:r w:rsidRPr="00D14DBB">
        <w:rPr>
          <w:vertAlign w:val="superscript"/>
        </w:rPr>
        <w:t>1</w:t>
      </w:r>
      <w:r w:rsidRPr="00D14DBB">
        <w:t xml:space="preserve">Brunel University London, London, United Kingdom, </w:t>
      </w:r>
      <w:r w:rsidR="00D14DBB" w:rsidRPr="00D14DBB">
        <w:rPr>
          <w:vertAlign w:val="superscript"/>
        </w:rPr>
        <w:t>2</w:t>
      </w:r>
      <w:r w:rsidR="00D14DBB" w:rsidRPr="00D14DBB">
        <w:t xml:space="preserve">The Royal Brompton &amp; Harefield NHS Foundation Trust, </w:t>
      </w:r>
      <w:r w:rsidR="00D14DBB" w:rsidRPr="00D14DBB">
        <w:rPr>
          <w:vertAlign w:val="superscript"/>
        </w:rPr>
        <w:t>3</w:t>
      </w:r>
      <w:r w:rsidRPr="00D14DBB">
        <w:t xml:space="preserve">University College London, </w:t>
      </w:r>
      <w:r w:rsidR="002B7ADE" w:rsidRPr="00D14DBB">
        <w:t>London</w:t>
      </w:r>
      <w:r w:rsidRPr="00D14DBB">
        <w:t xml:space="preserve">, United Kingdom, </w:t>
      </w:r>
      <w:r w:rsidR="00D14DBB" w:rsidRPr="00D14DBB">
        <w:rPr>
          <w:vertAlign w:val="superscript"/>
        </w:rPr>
        <w:t>4</w:t>
      </w:r>
      <w:r w:rsidRPr="00D14DBB">
        <w:t>Francis Crick Institute, London, United Kingdom,</w:t>
      </w:r>
      <w:r w:rsidR="00B420BA" w:rsidRPr="00D14DBB">
        <w:t xml:space="preserve"> </w:t>
      </w:r>
      <w:r w:rsidR="00D14DBB" w:rsidRPr="00D14DBB">
        <w:rPr>
          <w:vertAlign w:val="superscript"/>
        </w:rPr>
        <w:t>5</w:t>
      </w:r>
      <w:r w:rsidR="00B420BA" w:rsidRPr="00D14DBB">
        <w:t xml:space="preserve">Chelsea and Westminster NHS Foundation Trust, </w:t>
      </w:r>
      <w:r w:rsidR="00D14DBB" w:rsidRPr="00D14DBB">
        <w:rPr>
          <w:vertAlign w:val="superscript"/>
        </w:rPr>
        <w:t>6</w:t>
      </w:r>
      <w:r w:rsidRPr="00D14DBB">
        <w:t>Imperial College London</w:t>
      </w:r>
      <w:r w:rsidR="00D14DBB" w:rsidRPr="00D14DBB">
        <w:t>,</w:t>
      </w:r>
      <w:r w:rsidR="00C51378" w:rsidRPr="00D14DBB">
        <w:t xml:space="preserve"> London,</w:t>
      </w:r>
      <w:r w:rsidR="00D14DBB" w:rsidRPr="00D14DBB">
        <w:t xml:space="preserve"> United Kingdom,</w:t>
      </w:r>
      <w:r w:rsidR="00D14DBB" w:rsidRPr="00D14DBB">
        <w:rPr>
          <w:vertAlign w:val="superscript"/>
        </w:rPr>
        <w:t xml:space="preserve"> 7</w:t>
      </w:r>
      <w:r w:rsidR="00D14DBB" w:rsidRPr="00D14DBB">
        <w:t xml:space="preserve">Imperial College Healthcare Trust, London, United Kingdom. </w:t>
      </w:r>
    </w:p>
    <w:p w:rsidR="00D14DBB" w:rsidRPr="00D14DBB" w:rsidRDefault="00D14DBB" w:rsidP="00F6138A">
      <w:pPr>
        <w:jc w:val="both"/>
      </w:pPr>
    </w:p>
    <w:p w:rsidR="003F74BD" w:rsidRPr="00D14DBB" w:rsidRDefault="00716F48" w:rsidP="00F6138A">
      <w:pPr>
        <w:jc w:val="both"/>
        <w:rPr>
          <w:b/>
        </w:rPr>
      </w:pPr>
      <w:r>
        <w:rPr>
          <w:b/>
        </w:rPr>
        <w:t>Rati</w:t>
      </w:r>
      <w:r w:rsidR="00680D1B">
        <w:rPr>
          <w:b/>
        </w:rPr>
        <w:t>onale:</w:t>
      </w:r>
      <w:r w:rsidR="00C96FBB" w:rsidRPr="00D14DBB">
        <w:rPr>
          <w:b/>
        </w:rPr>
        <w:t xml:space="preserve"> </w:t>
      </w:r>
      <w:r w:rsidR="003F74BD" w:rsidRPr="00D14DBB">
        <w:t>Around 20% of patients in the Intensive Care Unit (ICU) will develop ‘chr</w:t>
      </w:r>
      <w:r w:rsidR="004B2A75" w:rsidRPr="00D14DBB">
        <w:t>onic critical illness’ (CCI) requiring a protracted ICU stay. L</w:t>
      </w:r>
      <w:r w:rsidR="003F74BD" w:rsidRPr="00D14DBB">
        <w:t>ittle is known about the functional recovery of these patients whilst in the I</w:t>
      </w:r>
      <w:r w:rsidR="00C51378" w:rsidRPr="00D14DBB">
        <w:t xml:space="preserve">CU. </w:t>
      </w:r>
      <w:r w:rsidR="003F74BD" w:rsidRPr="00D14DBB">
        <w:t xml:space="preserve"> </w:t>
      </w:r>
    </w:p>
    <w:p w:rsidR="008F37D5" w:rsidRPr="00D14DBB" w:rsidRDefault="008F37D5" w:rsidP="00F6138A">
      <w:pPr>
        <w:jc w:val="both"/>
      </w:pPr>
      <w:r w:rsidRPr="00D14DBB">
        <w:t>The Chelsea Critical Care Physical Assessment (</w:t>
      </w:r>
      <w:proofErr w:type="spellStart"/>
      <w:r w:rsidRPr="00D14DBB">
        <w:t>CPAx</w:t>
      </w:r>
      <w:proofErr w:type="spellEnd"/>
      <w:r w:rsidRPr="00D14DBB">
        <w:t xml:space="preserve">) </w:t>
      </w:r>
      <w:r w:rsidR="00907C6E">
        <w:t>score</w:t>
      </w:r>
      <w:r w:rsidRPr="00D14DBB">
        <w:t xml:space="preserve"> as a </w:t>
      </w:r>
      <w:r w:rsidR="00907C6E">
        <w:t>validated 50-point scale</w:t>
      </w:r>
      <w:r w:rsidRPr="00D14DBB">
        <w:t xml:space="preserve"> recorded daily to allow monitoring of function in the ICU. This means that the </w:t>
      </w:r>
      <w:proofErr w:type="spellStart"/>
      <w:r w:rsidRPr="00D14DBB">
        <w:t>CPAx</w:t>
      </w:r>
      <w:proofErr w:type="spellEnd"/>
      <w:r w:rsidRPr="00D14DBB">
        <w:t xml:space="preserve"> can provide individual recovery tra</w:t>
      </w:r>
      <w:r w:rsidR="00907C6E">
        <w:t xml:space="preserve">jectories for each patient, </w:t>
      </w:r>
      <w:r w:rsidRPr="00D14DBB">
        <w:t>therefore could be used to investigate the functional recovery trajectories and characteristics of patients with CCI.</w:t>
      </w:r>
    </w:p>
    <w:p w:rsidR="003F74BD" w:rsidRPr="00D14DBB" w:rsidRDefault="003F74BD" w:rsidP="00F6138A">
      <w:pPr>
        <w:jc w:val="both"/>
        <w:rPr>
          <w:b/>
        </w:rPr>
      </w:pPr>
      <w:r w:rsidRPr="00D14DBB">
        <w:rPr>
          <w:b/>
        </w:rPr>
        <w:t>Aims</w:t>
      </w:r>
    </w:p>
    <w:p w:rsidR="002A2A95" w:rsidRPr="00D14DBB" w:rsidRDefault="002A2A95" w:rsidP="00F6138A">
      <w:pPr>
        <w:jc w:val="both"/>
      </w:pPr>
      <w:r w:rsidRPr="00D14DBB">
        <w:t>1. Examine functional recovery trajectories in p</w:t>
      </w:r>
      <w:r w:rsidR="00BB0B5B">
        <w:t xml:space="preserve">atients with CCI using the </w:t>
      </w:r>
      <w:proofErr w:type="spellStart"/>
      <w:r w:rsidR="00BB0B5B">
        <w:t>CPAx</w:t>
      </w:r>
      <w:proofErr w:type="spellEnd"/>
      <w:r w:rsidRPr="00D14DBB">
        <w:t>.</w:t>
      </w:r>
    </w:p>
    <w:p w:rsidR="002A2A95" w:rsidRPr="00D14DBB" w:rsidRDefault="002A2A95" w:rsidP="00F6138A">
      <w:pPr>
        <w:jc w:val="both"/>
      </w:pPr>
      <w:r w:rsidRPr="00D14DBB">
        <w:t>2. Characterise the subgroups of patients with differing functional trajectories.</w:t>
      </w:r>
    </w:p>
    <w:p w:rsidR="002A2A95" w:rsidRPr="00D14DBB" w:rsidRDefault="002A2A95" w:rsidP="00F6138A">
      <w:pPr>
        <w:jc w:val="both"/>
        <w:rPr>
          <w:b/>
        </w:rPr>
      </w:pPr>
      <w:r w:rsidRPr="00D14DBB">
        <w:rPr>
          <w:b/>
        </w:rPr>
        <w:t>Methods</w:t>
      </w:r>
      <w:r w:rsidR="00531FF2" w:rsidRPr="00D14DBB">
        <w:rPr>
          <w:b/>
        </w:rPr>
        <w:t>:</w:t>
      </w:r>
    </w:p>
    <w:p w:rsidR="002A2A95" w:rsidRPr="00BB0B5B" w:rsidRDefault="002A2A95" w:rsidP="00F6138A">
      <w:pPr>
        <w:jc w:val="both"/>
        <w:rPr>
          <w:b/>
        </w:rPr>
      </w:pPr>
      <w:r w:rsidRPr="00BB0B5B">
        <w:rPr>
          <w:b/>
        </w:rPr>
        <w:t xml:space="preserve">Participants: </w:t>
      </w:r>
      <w:r w:rsidRPr="00BB0B5B">
        <w:t>Patients admitte</w:t>
      </w:r>
      <w:r w:rsidR="00907C6E" w:rsidRPr="00BB0B5B">
        <w:t xml:space="preserve">d to the ICU </w:t>
      </w:r>
      <w:r w:rsidR="00BB0B5B" w:rsidRPr="00D14DBB">
        <w:t>at a London Teaching Hospital</w:t>
      </w:r>
      <w:r w:rsidR="00BB0B5B" w:rsidRPr="00BB0B5B">
        <w:t xml:space="preserve"> </w:t>
      </w:r>
      <w:r w:rsidR="00907C6E" w:rsidRPr="00BB0B5B">
        <w:t xml:space="preserve">from 10/05/2010 to </w:t>
      </w:r>
      <w:r w:rsidRPr="00BB0B5B">
        <w:t xml:space="preserve">19/09/2017 with a length of stay of ≥10 days and </w:t>
      </w:r>
      <w:r w:rsidR="00907C6E" w:rsidRPr="00BB0B5B">
        <w:t>≥4</w:t>
      </w:r>
      <w:r w:rsidRPr="00BB0B5B">
        <w:t xml:space="preserve"> completed </w:t>
      </w:r>
      <w:proofErr w:type="spellStart"/>
      <w:r w:rsidRPr="00BB0B5B">
        <w:t>CPAx</w:t>
      </w:r>
      <w:proofErr w:type="spellEnd"/>
      <w:r w:rsidRPr="00BB0B5B">
        <w:t xml:space="preserve"> scores. </w:t>
      </w:r>
    </w:p>
    <w:p w:rsidR="00AE6E13" w:rsidRPr="00BB0B5B" w:rsidRDefault="002A2A95" w:rsidP="00BB0B5B">
      <w:pPr>
        <w:tabs>
          <w:tab w:val="left" w:pos="0"/>
        </w:tabs>
        <w:suppressAutoHyphens/>
        <w:jc w:val="both"/>
        <w:rPr>
          <w:rFonts w:eastAsia="Calibri"/>
        </w:rPr>
      </w:pPr>
      <w:r w:rsidRPr="00BB0B5B">
        <w:rPr>
          <w:b/>
        </w:rPr>
        <w:t xml:space="preserve">Data collection: </w:t>
      </w:r>
      <w:r w:rsidR="001F2A94" w:rsidRPr="00BB0B5B">
        <w:t xml:space="preserve">A report </w:t>
      </w:r>
      <w:r w:rsidR="0068681C" w:rsidRPr="00BB0B5B">
        <w:t>was</w:t>
      </w:r>
      <w:r w:rsidR="001F2A94" w:rsidRPr="00BB0B5B">
        <w:t xml:space="preserve"> generated from </w:t>
      </w:r>
      <w:r w:rsidR="00BB0B5B">
        <w:t xml:space="preserve">the ICU database with daily </w:t>
      </w:r>
      <w:proofErr w:type="spellStart"/>
      <w:r w:rsidR="001F2A94" w:rsidRPr="00BB0B5B">
        <w:t>CPAx</w:t>
      </w:r>
      <w:proofErr w:type="spellEnd"/>
      <w:r w:rsidR="001F2A94" w:rsidRPr="00BB0B5B">
        <w:t xml:space="preserve"> scores for each patient</w:t>
      </w:r>
      <w:r w:rsidR="00BB0B5B">
        <w:t xml:space="preserve"> and the following </w:t>
      </w:r>
      <w:r w:rsidR="00BF30C7" w:rsidRPr="00BB0B5B">
        <w:t>demographics</w:t>
      </w:r>
      <w:r w:rsidR="00BB0B5B">
        <w:t xml:space="preserve">: </w:t>
      </w:r>
      <w:r w:rsidR="00BB0B5B" w:rsidRPr="00BB0B5B">
        <w:rPr>
          <w:rFonts w:eastAsia="Calibri"/>
        </w:rPr>
        <w:t xml:space="preserve">age, gender, diagnosis, </w:t>
      </w:r>
      <w:r w:rsidR="00BB0B5B" w:rsidRPr="00BB0B5B">
        <w:t>Acute Physiology and Chronic Health Evaluation II score</w:t>
      </w:r>
      <w:r w:rsidR="00BB0B5B" w:rsidRPr="00BB0B5B">
        <w:rPr>
          <w:rFonts w:eastAsia="Calibri"/>
        </w:rPr>
        <w:t xml:space="preserve"> (APACHE II), morta</w:t>
      </w:r>
      <w:r w:rsidR="00BB0B5B">
        <w:rPr>
          <w:rFonts w:eastAsia="Calibri"/>
        </w:rPr>
        <w:t>lity outcome i.e. dead or alive, d</w:t>
      </w:r>
      <w:r w:rsidR="00BB0B5B" w:rsidRPr="00BB0B5B">
        <w:rPr>
          <w:rFonts w:eastAsia="Calibri"/>
        </w:rPr>
        <w:t>ays of advanced respiratory support</w:t>
      </w:r>
      <w:r w:rsidR="00BB0B5B">
        <w:rPr>
          <w:rFonts w:eastAsia="Calibri"/>
        </w:rPr>
        <w:t>, and l</w:t>
      </w:r>
      <w:r w:rsidR="00BB0B5B" w:rsidRPr="00BB0B5B">
        <w:rPr>
          <w:rFonts w:eastAsia="Calibri"/>
        </w:rPr>
        <w:t xml:space="preserve">ength of stay </w:t>
      </w:r>
      <w:r w:rsidR="00BB0B5B">
        <w:rPr>
          <w:rFonts w:eastAsia="Calibri"/>
        </w:rPr>
        <w:t xml:space="preserve">(LOS) </w:t>
      </w:r>
      <w:r w:rsidR="00BB0B5B" w:rsidRPr="00BB0B5B">
        <w:rPr>
          <w:rFonts w:eastAsia="Calibri"/>
        </w:rPr>
        <w:t xml:space="preserve">on </w:t>
      </w:r>
      <w:r w:rsidR="00BB0B5B">
        <w:rPr>
          <w:rFonts w:eastAsia="Calibri"/>
        </w:rPr>
        <w:t>ICU</w:t>
      </w:r>
      <w:r w:rsidR="00BB0B5B" w:rsidRPr="00BB0B5B">
        <w:rPr>
          <w:rFonts w:eastAsia="Calibri"/>
        </w:rPr>
        <w:t xml:space="preserve"> and hospital</w:t>
      </w:r>
    </w:p>
    <w:p w:rsidR="00214630" w:rsidRPr="00D14DBB" w:rsidRDefault="002A2A95" w:rsidP="00F6138A">
      <w:pPr>
        <w:jc w:val="both"/>
      </w:pPr>
      <w:r w:rsidRPr="00D14DBB">
        <w:rPr>
          <w:b/>
        </w:rPr>
        <w:t>Data analysis:</w:t>
      </w:r>
      <w:r w:rsidRPr="00D14DBB">
        <w:t xml:space="preserve"> The total </w:t>
      </w:r>
      <w:proofErr w:type="spellStart"/>
      <w:r w:rsidRPr="00D14DBB">
        <w:t>CPAx</w:t>
      </w:r>
      <w:proofErr w:type="spellEnd"/>
      <w:r w:rsidRPr="00D14DBB">
        <w:t xml:space="preserve"> score for each patient for the first 10 days of </w:t>
      </w:r>
      <w:r w:rsidR="00C84239" w:rsidRPr="00D14DBB">
        <w:t>ICU</w:t>
      </w:r>
      <w:r w:rsidRPr="00D14DBB">
        <w:t xml:space="preserve"> </w:t>
      </w:r>
      <w:r w:rsidR="002B7ADE" w:rsidRPr="00D14DBB">
        <w:t>was</w:t>
      </w:r>
      <w:r w:rsidRPr="00D14DBB">
        <w:t xml:space="preserve"> analysed to identify cluster</w:t>
      </w:r>
      <w:r w:rsidR="001F2A94" w:rsidRPr="00D14DBB">
        <w:t>s of longitudinal trajectories</w:t>
      </w:r>
      <w:r w:rsidR="00BF30C7" w:rsidRPr="00D14DBB">
        <w:t xml:space="preserve">. </w:t>
      </w:r>
      <w:r w:rsidR="00D92A94" w:rsidRPr="00D14DBB">
        <w:t>Demographic data was analysed using descriptive statistics to identify</w:t>
      </w:r>
      <w:r w:rsidR="00D92A94">
        <w:t xml:space="preserve"> the</w:t>
      </w:r>
      <w:r w:rsidR="00D92A94" w:rsidRPr="00D14DBB">
        <w:t xml:space="preserve"> </w:t>
      </w:r>
      <w:r w:rsidR="00D92A94">
        <w:t>incidence of</w:t>
      </w:r>
      <w:r w:rsidR="00D92A94" w:rsidRPr="00D14DBB">
        <w:t xml:space="preserve"> CCI</w:t>
      </w:r>
      <w:r w:rsidR="00D92A94">
        <w:t xml:space="preserve"> and</w:t>
      </w:r>
      <w:r w:rsidR="00D92A94" w:rsidRPr="00D92A94">
        <w:t xml:space="preserve"> </w:t>
      </w:r>
      <w:r w:rsidR="00D92A94" w:rsidRPr="00D14DBB">
        <w:t xml:space="preserve">to characterise the </w:t>
      </w:r>
      <w:r w:rsidR="00D92A94">
        <w:t>clusters. Chi-</w:t>
      </w:r>
      <w:r w:rsidR="00681B5C" w:rsidRPr="00D14DBB">
        <w:t>squared and independent t</w:t>
      </w:r>
      <w:r w:rsidR="00D92A94">
        <w:t>-</w:t>
      </w:r>
      <w:r w:rsidR="00681B5C" w:rsidRPr="00D14DBB">
        <w:t xml:space="preserve">tests </w:t>
      </w:r>
      <w:r w:rsidR="00D14DBB" w:rsidRPr="00D14DBB">
        <w:t>(</w:t>
      </w:r>
      <w:r w:rsidR="00BB0B5B">
        <w:t>alpha .05</w:t>
      </w:r>
      <w:r w:rsidR="00D14DBB" w:rsidRPr="00D14DBB">
        <w:t>)</w:t>
      </w:r>
      <w:r w:rsidR="00681B5C" w:rsidRPr="00D14DBB">
        <w:t xml:space="preserve"> were used to analysis categorical and </w:t>
      </w:r>
      <w:r w:rsidR="00D14DBB" w:rsidRPr="00D14DBB">
        <w:t>ratio</w:t>
      </w:r>
      <w:r w:rsidR="00BB0B5B">
        <w:t xml:space="preserve"> data.</w:t>
      </w:r>
    </w:p>
    <w:p w:rsidR="00AE6E13" w:rsidRPr="00C32A0B" w:rsidRDefault="00531FF2" w:rsidP="00F6138A">
      <w:pPr>
        <w:jc w:val="both"/>
      </w:pPr>
      <w:r w:rsidRPr="00D14DBB">
        <w:rPr>
          <w:b/>
        </w:rPr>
        <w:t>Results</w:t>
      </w:r>
      <w:r w:rsidR="005402CC" w:rsidRPr="00D14DBB">
        <w:rPr>
          <w:b/>
        </w:rPr>
        <w:t xml:space="preserve">: </w:t>
      </w:r>
      <w:r w:rsidR="00214630" w:rsidRPr="00D14DBB">
        <w:t>1,899</w:t>
      </w:r>
      <w:r w:rsidR="003B5C9A" w:rsidRPr="00D14DBB">
        <w:t xml:space="preserve"> patients were </w:t>
      </w:r>
      <w:r w:rsidR="005402CC" w:rsidRPr="00D14DBB">
        <w:t xml:space="preserve">admitted during this period; 373 (20%) </w:t>
      </w:r>
      <w:r w:rsidR="003B5C9A" w:rsidRPr="00D14DBB">
        <w:t xml:space="preserve">patients fit the criteria for CCI. </w:t>
      </w:r>
      <w:r w:rsidR="005402CC" w:rsidRPr="00D14DBB">
        <w:t>T</w:t>
      </w:r>
      <w:r w:rsidR="002B7ADE" w:rsidRPr="00D14DBB">
        <w:t xml:space="preserve">wo </w:t>
      </w:r>
      <w:r w:rsidR="00C72072" w:rsidRPr="00D14DBB">
        <w:t>common recovery trajectories were identified</w:t>
      </w:r>
      <w:r w:rsidR="005402CC" w:rsidRPr="00D14DBB">
        <w:t xml:space="preserve"> in 252 patients</w:t>
      </w:r>
      <w:r w:rsidR="00907C6E">
        <w:t xml:space="preserve">; Cluster 1 </w:t>
      </w:r>
      <w:r w:rsidR="00C32A0B">
        <w:t xml:space="preserve">(n=70) </w:t>
      </w:r>
      <w:r w:rsidR="00907C6E">
        <w:t>showed a large improvement in physical function; Cluster</w:t>
      </w:r>
      <w:r w:rsidRPr="00D14DBB">
        <w:t xml:space="preserve"> </w:t>
      </w:r>
      <w:r w:rsidR="00907C6E">
        <w:t>2</w:t>
      </w:r>
      <w:r w:rsidRPr="00D14DBB">
        <w:t xml:space="preserve"> </w:t>
      </w:r>
      <w:r w:rsidR="00C32A0B">
        <w:t xml:space="preserve">(n=182) </w:t>
      </w:r>
      <w:r w:rsidRPr="00D14DBB">
        <w:t>showed minimal improvement</w:t>
      </w:r>
      <w:r w:rsidR="00C32A0B">
        <w:t xml:space="preserve"> (figure 1). Cluster 2 was associated:</w:t>
      </w:r>
      <w:r w:rsidR="00C32A0B" w:rsidRPr="00D14DBB">
        <w:t xml:space="preserve"> increased age</w:t>
      </w:r>
      <w:r w:rsidR="00C32A0B">
        <w:t xml:space="preserve"> (p=0.005)</w:t>
      </w:r>
      <w:r w:rsidR="00C32A0B" w:rsidRPr="00D14DBB">
        <w:t>,</w:t>
      </w:r>
      <w:r w:rsidR="00C32A0B">
        <w:t xml:space="preserve"> longer ICU LOS (p&lt;0.01) and hospital LOS (p=0.02), and a longer duration of advanced respiratory support (p&lt;.01). There was a non-significant trend towards </w:t>
      </w:r>
      <w:r w:rsidR="00C32A0B">
        <w:lastRenderedPageBreak/>
        <w:t xml:space="preserve">greater mortality in ICU (p=0.07), no difference in overall hospital mortality (p=0.54), </w:t>
      </w:r>
      <w:r w:rsidR="00C32A0B" w:rsidRPr="00D14DBB">
        <w:t>APACHE II score</w:t>
      </w:r>
      <w:r w:rsidR="00C32A0B">
        <w:t xml:space="preserve"> (p=0.65) or gender (p=.75). </w:t>
      </w:r>
      <w:r w:rsidR="00C32A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0D9AA2">
            <wp:simplePos x="0" y="0"/>
            <wp:positionH relativeFrom="column">
              <wp:posOffset>847725</wp:posOffset>
            </wp:positionH>
            <wp:positionV relativeFrom="paragraph">
              <wp:posOffset>3978275</wp:posOffset>
            </wp:positionV>
            <wp:extent cx="3476625" cy="269557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jectori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94" w:rsidRDefault="00531FF2" w:rsidP="00F6138A">
      <w:pPr>
        <w:jc w:val="both"/>
      </w:pPr>
      <w:r w:rsidRPr="00D14DBB">
        <w:rPr>
          <w:b/>
        </w:rPr>
        <w:t xml:space="preserve">Conclusions: </w:t>
      </w:r>
      <w:r w:rsidR="00D92A94">
        <w:t>P</w:t>
      </w:r>
      <w:r w:rsidRPr="00D14DBB">
        <w:t>atients</w:t>
      </w:r>
      <w:r w:rsidR="00D92A94">
        <w:t xml:space="preserve"> w</w:t>
      </w:r>
      <w:bookmarkStart w:id="0" w:name="_GoBack"/>
      <w:bookmarkEnd w:id="0"/>
      <w:r w:rsidR="00D92A94">
        <w:t>ith CCI</w:t>
      </w:r>
      <w:r w:rsidRPr="00D14DBB">
        <w:t xml:space="preserve"> represent a </w:t>
      </w:r>
      <w:r w:rsidR="004F3873" w:rsidRPr="00D14DBB">
        <w:t>heterogeneous</w:t>
      </w:r>
      <w:r w:rsidRPr="00D14DBB">
        <w:t xml:space="preserve"> group that may be cat</w:t>
      </w:r>
      <w:r w:rsidR="00BF30C7" w:rsidRPr="00D14DBB">
        <w:t>e</w:t>
      </w:r>
      <w:r w:rsidRPr="00D14DBB">
        <w:t xml:space="preserve">gorised using the </w:t>
      </w:r>
      <w:proofErr w:type="spellStart"/>
      <w:r w:rsidRPr="00D14DBB">
        <w:t>CPAx</w:t>
      </w:r>
      <w:proofErr w:type="spellEnd"/>
      <w:r w:rsidRPr="00D14DBB">
        <w:t xml:space="preserve"> into t</w:t>
      </w:r>
      <w:r w:rsidR="004F3873" w:rsidRPr="00D14DBB">
        <w:t xml:space="preserve">wo </w:t>
      </w:r>
      <w:r w:rsidRPr="00D14DBB">
        <w:t>distinct c</w:t>
      </w:r>
      <w:r w:rsidR="00907C6E">
        <w:t>lusters that</w:t>
      </w:r>
      <w:r w:rsidRPr="00D14DBB">
        <w:t xml:space="preserve"> recover at </w:t>
      </w:r>
      <w:r w:rsidR="004F3873" w:rsidRPr="00D14DBB">
        <w:t>different rates.</w:t>
      </w:r>
      <w:r w:rsidR="007B7003">
        <w:t xml:space="preserve">  The </w:t>
      </w:r>
      <w:proofErr w:type="spellStart"/>
      <w:r w:rsidR="007B7003">
        <w:t>CPAx</w:t>
      </w:r>
      <w:proofErr w:type="spellEnd"/>
      <w:r w:rsidR="007B7003">
        <w:t xml:space="preserve"> may be a useful tool to </w:t>
      </w:r>
    </w:p>
    <w:p w:rsidR="00D92A94" w:rsidRPr="00D14DBB" w:rsidRDefault="00D92A94" w:rsidP="00F6138A">
      <w:pPr>
        <w:jc w:val="both"/>
      </w:pPr>
    </w:p>
    <w:p w:rsidR="003F74BD" w:rsidRPr="00355A4B" w:rsidRDefault="00C32A0B" w:rsidP="002A2A9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855980</wp:posOffset>
            </wp:positionV>
            <wp:extent cx="1066800" cy="5715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cjectories ke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4B">
        <w:t>(</w:t>
      </w:r>
      <w:r w:rsidR="00355A4B" w:rsidRPr="00355A4B">
        <w:t>Funding: Brunel University London</w:t>
      </w:r>
      <w:r w:rsidR="00355A4B">
        <w:t>)</w:t>
      </w:r>
      <w:r w:rsidR="00355A4B" w:rsidRPr="00355A4B">
        <w:t xml:space="preserve"> </w:t>
      </w:r>
    </w:p>
    <w:sectPr w:rsidR="003F74BD" w:rsidRPr="0035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690"/>
    <w:multiLevelType w:val="hybridMultilevel"/>
    <w:tmpl w:val="F72AB2DE"/>
    <w:lvl w:ilvl="0" w:tplc="04E87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B330F"/>
    <w:multiLevelType w:val="hybridMultilevel"/>
    <w:tmpl w:val="E8F233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D"/>
    <w:rsid w:val="000400EB"/>
    <w:rsid w:val="00194521"/>
    <w:rsid w:val="001F2A94"/>
    <w:rsid w:val="00214630"/>
    <w:rsid w:val="002A2A95"/>
    <w:rsid w:val="002B7ADE"/>
    <w:rsid w:val="00355A4B"/>
    <w:rsid w:val="003577DE"/>
    <w:rsid w:val="003739EF"/>
    <w:rsid w:val="003B5C9A"/>
    <w:rsid w:val="003F74BD"/>
    <w:rsid w:val="004B2A75"/>
    <w:rsid w:val="004F3873"/>
    <w:rsid w:val="00531FF2"/>
    <w:rsid w:val="005402CC"/>
    <w:rsid w:val="005F188E"/>
    <w:rsid w:val="0060725B"/>
    <w:rsid w:val="00680D1B"/>
    <w:rsid w:val="00681B5C"/>
    <w:rsid w:val="0068681C"/>
    <w:rsid w:val="00716F48"/>
    <w:rsid w:val="007B7003"/>
    <w:rsid w:val="008B44B7"/>
    <w:rsid w:val="008F37D5"/>
    <w:rsid w:val="008F5003"/>
    <w:rsid w:val="00907C6E"/>
    <w:rsid w:val="00AE6E13"/>
    <w:rsid w:val="00B420BA"/>
    <w:rsid w:val="00B6250D"/>
    <w:rsid w:val="00B77485"/>
    <w:rsid w:val="00BB0B5B"/>
    <w:rsid w:val="00BE1B65"/>
    <w:rsid w:val="00BF30C7"/>
    <w:rsid w:val="00C32A0B"/>
    <w:rsid w:val="00C51378"/>
    <w:rsid w:val="00C72072"/>
    <w:rsid w:val="00C84239"/>
    <w:rsid w:val="00C96FBB"/>
    <w:rsid w:val="00CA6F63"/>
    <w:rsid w:val="00CD3CCF"/>
    <w:rsid w:val="00D14DBB"/>
    <w:rsid w:val="00D92A94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2BE11B-206E-43C9-85BF-AC835C0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A9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3B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7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D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F38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Corner</dc:creator>
  <cp:keywords/>
  <dc:description/>
  <cp:lastModifiedBy>Eve Corner (Staff)</cp:lastModifiedBy>
  <cp:revision>2</cp:revision>
  <dcterms:created xsi:type="dcterms:W3CDTF">2019-05-24T06:59:00Z</dcterms:created>
  <dcterms:modified xsi:type="dcterms:W3CDTF">2019-05-24T06:59:00Z</dcterms:modified>
</cp:coreProperties>
</file>