
<file path=[Content_Types].xml><?xml version="1.0" encoding="utf-8"?>
<Types xmlns="http://schemas.openxmlformats.org/package/2006/content-types">
  <Default Extension="xml" ContentType="application/xml"/>
  <Default Extension="bin" ContentType="application/vnd.ms-word.attachedToolbars"/>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1F846" w14:textId="77777777" w:rsidR="00AB6A88" w:rsidRPr="00535A4C" w:rsidRDefault="00AB6A88" w:rsidP="00E8204B">
      <w:pPr>
        <w:pStyle w:val="TitleOfPaperCover"/>
        <w:jc w:val="both"/>
      </w:pPr>
    </w:p>
    <w:p w14:paraId="758E9E65" w14:textId="77777777" w:rsidR="00D1706E" w:rsidRDefault="00F72F33" w:rsidP="008121DA">
      <w:pPr>
        <w:pStyle w:val="TitleOfPaperCover"/>
        <w:rPr>
          <w:b/>
          <w:sz w:val="28"/>
        </w:rPr>
      </w:pPr>
      <w:r>
        <w:rPr>
          <w:b/>
          <w:sz w:val="28"/>
        </w:rPr>
        <w:t xml:space="preserve">A NON-LINEAR ANALYSIS OF </w:t>
      </w:r>
      <w:r w:rsidR="008121DA" w:rsidRPr="008121DA">
        <w:rPr>
          <w:b/>
          <w:sz w:val="28"/>
        </w:rPr>
        <w:t>GIBSON</w:t>
      </w:r>
      <w:r>
        <w:rPr>
          <w:b/>
          <w:sz w:val="28"/>
        </w:rPr>
        <w:t>’S</w:t>
      </w:r>
      <w:r w:rsidR="008121DA" w:rsidRPr="008121DA">
        <w:rPr>
          <w:b/>
          <w:sz w:val="28"/>
        </w:rPr>
        <w:t xml:space="preserve"> PARADOX </w:t>
      </w:r>
    </w:p>
    <w:p w14:paraId="64AE0841" w14:textId="77777777" w:rsidR="007C1679" w:rsidRDefault="007C1679" w:rsidP="008121DA">
      <w:pPr>
        <w:pStyle w:val="TitleOfPaperCover"/>
        <w:rPr>
          <w:b/>
          <w:sz w:val="28"/>
          <w:lang w:val="it-IT"/>
        </w:rPr>
      </w:pPr>
    </w:p>
    <w:p w14:paraId="1B4D085B" w14:textId="77777777" w:rsidR="008121DA" w:rsidRPr="007B26A3" w:rsidRDefault="008121DA" w:rsidP="008121DA">
      <w:pPr>
        <w:pStyle w:val="TitleOfPaperCover"/>
        <w:rPr>
          <w:b/>
          <w:sz w:val="28"/>
          <w:lang w:val="it-IT"/>
        </w:rPr>
      </w:pPr>
      <w:bookmarkStart w:id="0" w:name="_GoBack"/>
      <w:bookmarkEnd w:id="0"/>
      <w:r w:rsidRPr="007B26A3">
        <w:rPr>
          <w:b/>
          <w:sz w:val="28"/>
          <w:lang w:val="it-IT"/>
        </w:rPr>
        <w:t>Guglielmo Maria Caporale*</w:t>
      </w:r>
    </w:p>
    <w:p w14:paraId="75463F6E" w14:textId="77777777" w:rsidR="008121DA" w:rsidRPr="008121DA" w:rsidRDefault="008121DA" w:rsidP="008121DA">
      <w:pPr>
        <w:pStyle w:val="TitleOfPaperCover"/>
        <w:rPr>
          <w:b/>
          <w:sz w:val="28"/>
        </w:rPr>
      </w:pPr>
      <w:r w:rsidRPr="008121DA">
        <w:rPr>
          <w:b/>
          <w:sz w:val="28"/>
        </w:rPr>
        <w:t xml:space="preserve">Brunel University, London, </w:t>
      </w:r>
      <w:proofErr w:type="spellStart"/>
      <w:r w:rsidRPr="008121DA">
        <w:rPr>
          <w:b/>
          <w:sz w:val="28"/>
        </w:rPr>
        <w:t>CESifo</w:t>
      </w:r>
      <w:proofErr w:type="spellEnd"/>
      <w:r w:rsidRPr="008121DA">
        <w:rPr>
          <w:b/>
          <w:sz w:val="28"/>
        </w:rPr>
        <w:t xml:space="preserve"> and DIW Berlin</w:t>
      </w:r>
    </w:p>
    <w:p w14:paraId="22FC5DE4" w14:textId="77777777" w:rsidR="008121DA" w:rsidRPr="008121DA" w:rsidRDefault="008121DA" w:rsidP="008121DA">
      <w:pPr>
        <w:pStyle w:val="TitleOfPaperCover"/>
        <w:rPr>
          <w:b/>
          <w:sz w:val="28"/>
        </w:rPr>
      </w:pPr>
      <w:r w:rsidRPr="008121DA">
        <w:rPr>
          <w:b/>
          <w:sz w:val="28"/>
        </w:rPr>
        <w:t xml:space="preserve">Marinko </w:t>
      </w:r>
      <w:proofErr w:type="spellStart"/>
      <w:r w:rsidRPr="008121DA">
        <w:rPr>
          <w:b/>
          <w:sz w:val="28"/>
        </w:rPr>
        <w:t>Škare</w:t>
      </w:r>
      <w:proofErr w:type="spellEnd"/>
    </w:p>
    <w:p w14:paraId="46AAC247" w14:textId="77777777" w:rsidR="008121DA" w:rsidRPr="008121DA" w:rsidRDefault="008121DA" w:rsidP="00D1706E">
      <w:pPr>
        <w:pStyle w:val="TitleOfPaperCover"/>
        <w:rPr>
          <w:b/>
          <w:sz w:val="28"/>
        </w:rPr>
      </w:pPr>
      <w:proofErr w:type="spellStart"/>
      <w:r w:rsidRPr="008121DA">
        <w:rPr>
          <w:b/>
          <w:sz w:val="28"/>
        </w:rPr>
        <w:t>Juraj</w:t>
      </w:r>
      <w:proofErr w:type="spellEnd"/>
      <w:r w:rsidRPr="008121DA">
        <w:rPr>
          <w:b/>
          <w:sz w:val="28"/>
        </w:rPr>
        <w:t xml:space="preserve"> </w:t>
      </w:r>
      <w:proofErr w:type="spellStart"/>
      <w:r w:rsidRPr="008121DA">
        <w:rPr>
          <w:b/>
          <w:sz w:val="28"/>
        </w:rPr>
        <w:t>Dobrila</w:t>
      </w:r>
      <w:proofErr w:type="spellEnd"/>
      <w:r w:rsidRPr="008121DA">
        <w:rPr>
          <w:b/>
          <w:sz w:val="28"/>
        </w:rPr>
        <w:t xml:space="preserve"> University of Pula</w:t>
      </w:r>
    </w:p>
    <w:p w14:paraId="1FEBFE74" w14:textId="77777777" w:rsidR="00D1706E" w:rsidRDefault="00D1706E" w:rsidP="00D1706E">
      <w:pPr>
        <w:pStyle w:val="TitleOfPaperCover"/>
        <w:rPr>
          <w:b/>
          <w:sz w:val="28"/>
        </w:rPr>
      </w:pPr>
    </w:p>
    <w:p w14:paraId="3B8D67C1" w14:textId="77777777" w:rsidR="00F46597" w:rsidRPr="008121DA" w:rsidRDefault="00F46597" w:rsidP="00D1706E">
      <w:pPr>
        <w:pStyle w:val="TitleOfPaperCover"/>
        <w:rPr>
          <w:b/>
          <w:sz w:val="28"/>
        </w:rPr>
      </w:pPr>
    </w:p>
    <w:p w14:paraId="3AD2391F" w14:textId="77777777" w:rsidR="008121DA" w:rsidRDefault="008121DA" w:rsidP="008121DA">
      <w:pPr>
        <w:pStyle w:val="TitleOfPaperCover"/>
        <w:rPr>
          <w:b/>
          <w:sz w:val="28"/>
        </w:rPr>
      </w:pPr>
      <w:r w:rsidRPr="008121DA">
        <w:rPr>
          <w:b/>
          <w:sz w:val="28"/>
        </w:rPr>
        <w:t>Abstract</w:t>
      </w:r>
    </w:p>
    <w:p w14:paraId="2DE62438" w14:textId="77777777" w:rsidR="008121DA" w:rsidRPr="00284C8F" w:rsidRDefault="005D35CA" w:rsidP="00D1706E">
      <w:pPr>
        <w:pStyle w:val="TitleOfPaperCover"/>
        <w:spacing w:line="240" w:lineRule="auto"/>
        <w:jc w:val="both"/>
        <w:rPr>
          <w:b/>
          <w:color w:val="FF0000"/>
        </w:rPr>
      </w:pPr>
      <w:r w:rsidRPr="00C84D63">
        <w:t xml:space="preserve">In contrast to the previous literature, this paper adopts a </w:t>
      </w:r>
      <w:r w:rsidR="008121DA" w:rsidRPr="00C84D63">
        <w:t>multivariate</w:t>
      </w:r>
      <w:r w:rsidRPr="00C84D63">
        <w:t xml:space="preserve">, </w:t>
      </w:r>
      <w:r w:rsidR="008121DA" w:rsidRPr="00C84D63">
        <w:t xml:space="preserve">nonlinear </w:t>
      </w:r>
      <w:r w:rsidRPr="00C84D63">
        <w:t>framework to analyse Gibson</w:t>
      </w:r>
      <w:r w:rsidR="00F72F33" w:rsidRPr="00C84D63">
        <w:t>’s</w:t>
      </w:r>
      <w:r w:rsidR="00A2191A" w:rsidRPr="00C84D63">
        <w:t xml:space="preserve"> paradox in the Netherlands over the period </w:t>
      </w:r>
      <w:r w:rsidRPr="00C84D63">
        <w:t>1800-2012. Specifically, SSA (</w:t>
      </w:r>
      <w:r w:rsidR="00F236F4" w:rsidRPr="00C84D63">
        <w:t>Singular Spectrum Analysis</w:t>
      </w:r>
      <w:r w:rsidRPr="00C84D63">
        <w:t>)</w:t>
      </w:r>
      <w:r w:rsidR="00F236F4" w:rsidRPr="00C84D63">
        <w:t xml:space="preserve"> and MSSA (Multichannel Singular S</w:t>
      </w:r>
      <w:r w:rsidRPr="00C84D63">
        <w:t>pectrum</w:t>
      </w:r>
      <w:r w:rsidR="00F236F4" w:rsidRPr="00C84D63">
        <w:t xml:space="preserve"> Analysis</w:t>
      </w:r>
      <w:r w:rsidRPr="00C84D63">
        <w:t>) techniques are used. It is shown that c</w:t>
      </w:r>
      <w:r w:rsidR="008121DA" w:rsidRPr="00C84D63">
        <w:t>hanges in monetary policy regimes</w:t>
      </w:r>
      <w:r w:rsidR="007B26A3" w:rsidRPr="00C84D63">
        <w:t xml:space="preserve"> or volatility in the price of gold</w:t>
      </w:r>
      <w:r w:rsidR="008121DA" w:rsidRPr="00C84D63">
        <w:t xml:space="preserve"> </w:t>
      </w:r>
      <w:r w:rsidRPr="00C84D63">
        <w:t xml:space="preserve">by themselves cannot account for the behaviour of </w:t>
      </w:r>
      <w:r w:rsidR="008121DA" w:rsidRPr="00C84D63">
        <w:t xml:space="preserve">government </w:t>
      </w:r>
      <w:r w:rsidR="008121DA" w:rsidRPr="008121DA">
        <w:t>bond yields and price</w:t>
      </w:r>
      <w:r>
        <w:t>s</w:t>
      </w:r>
      <w:r w:rsidR="008121DA" w:rsidRPr="008121DA">
        <w:t xml:space="preserve"> </w:t>
      </w:r>
      <w:r>
        <w:t>o</w:t>
      </w:r>
      <w:r w:rsidR="008121DA" w:rsidRPr="008121DA">
        <w:t xml:space="preserve">ver </w:t>
      </w:r>
      <w:r>
        <w:t xml:space="preserve">the last 200 years. </w:t>
      </w:r>
      <w:r w:rsidRPr="007B26A3">
        <w:t xml:space="preserve">However, the inclusion of </w:t>
      </w:r>
      <w:r w:rsidR="008121DA" w:rsidRPr="007B26A3">
        <w:t xml:space="preserve">changes in </w:t>
      </w:r>
      <w:r w:rsidRPr="007B26A3">
        <w:t xml:space="preserve">the </w:t>
      </w:r>
      <w:r w:rsidR="008121DA" w:rsidRPr="007B26A3">
        <w:t>r</w:t>
      </w:r>
      <w:r w:rsidRPr="007B26A3">
        <w:t xml:space="preserve">eal rate of return on capital, </w:t>
      </w:r>
      <w:r w:rsidR="008121DA" w:rsidRPr="007B26A3">
        <w:t xml:space="preserve">M1, primary credit rate, expected inflation, </w:t>
      </w:r>
      <w:r w:rsidR="00F72F33" w:rsidRPr="007B26A3">
        <w:t xml:space="preserve">and </w:t>
      </w:r>
      <w:r w:rsidR="008121DA" w:rsidRPr="007B26A3">
        <w:t xml:space="preserve">money purchasing power </w:t>
      </w:r>
      <w:r w:rsidR="00A2191A" w:rsidRPr="007B26A3">
        <w:t xml:space="preserve">enables </w:t>
      </w:r>
      <w:r w:rsidR="00284C8F" w:rsidRPr="007B26A3">
        <w:t xml:space="preserve">a nonlinear model </w:t>
      </w:r>
      <w:r w:rsidR="00A2191A" w:rsidRPr="007B26A3">
        <w:t>to account for a sizeable percentage of the total variance</w:t>
      </w:r>
      <w:r w:rsidR="00284C8F" w:rsidRPr="007B26A3">
        <w:t xml:space="preserve"> of Dutch bond yields.</w:t>
      </w:r>
      <w:r w:rsidR="00284C8F" w:rsidRPr="00284C8F">
        <w:rPr>
          <w:b/>
          <w:color w:val="FF0000"/>
        </w:rPr>
        <w:t xml:space="preserve"> </w:t>
      </w:r>
    </w:p>
    <w:p w14:paraId="71083688" w14:textId="77777777" w:rsidR="008121DA" w:rsidRDefault="008121DA" w:rsidP="00E8204B">
      <w:pPr>
        <w:pStyle w:val="TitleOfPaperCover"/>
        <w:jc w:val="both"/>
      </w:pPr>
    </w:p>
    <w:p w14:paraId="6320F677" w14:textId="77777777" w:rsidR="008121DA" w:rsidRDefault="008121DA" w:rsidP="008121DA">
      <w:pPr>
        <w:pStyle w:val="TitleOfPaperCover"/>
        <w:spacing w:line="240" w:lineRule="auto"/>
        <w:jc w:val="both"/>
        <w:rPr>
          <w:i/>
        </w:rPr>
      </w:pPr>
      <w:r w:rsidRPr="008121DA">
        <w:rPr>
          <w:b/>
        </w:rPr>
        <w:t>Keywords:</w:t>
      </w:r>
      <w:r w:rsidRPr="008121DA">
        <w:t xml:space="preserve"> </w:t>
      </w:r>
      <w:r w:rsidRPr="008121DA">
        <w:rPr>
          <w:i/>
        </w:rPr>
        <w:t>Gibson</w:t>
      </w:r>
      <w:r w:rsidR="00F72F33">
        <w:rPr>
          <w:i/>
        </w:rPr>
        <w:t>’s</w:t>
      </w:r>
      <w:r w:rsidRPr="008121DA">
        <w:rPr>
          <w:i/>
        </w:rPr>
        <w:t xml:space="preserve"> paradox, Singular spectrum analysis, Interest rates, Causality, The Netherlands</w:t>
      </w:r>
    </w:p>
    <w:p w14:paraId="029C2533" w14:textId="77777777" w:rsidR="008121DA" w:rsidRPr="008121DA" w:rsidRDefault="008121DA" w:rsidP="008121DA">
      <w:pPr>
        <w:pStyle w:val="TitleOfPaperCover"/>
        <w:spacing w:line="240" w:lineRule="auto"/>
        <w:jc w:val="both"/>
        <w:rPr>
          <w:i/>
        </w:rPr>
      </w:pPr>
    </w:p>
    <w:p w14:paraId="3B4BD392" w14:textId="77777777" w:rsidR="008121DA" w:rsidRPr="007B26A3" w:rsidRDefault="008121DA" w:rsidP="00E8204B">
      <w:pPr>
        <w:pStyle w:val="TitleOfPaperCover"/>
        <w:jc w:val="both"/>
        <w:rPr>
          <w:b/>
          <w:lang w:val="it-IT"/>
        </w:rPr>
      </w:pPr>
      <w:r w:rsidRPr="007B26A3">
        <w:rPr>
          <w:b/>
          <w:lang w:val="it-IT"/>
        </w:rPr>
        <w:t xml:space="preserve">JEL Classification: </w:t>
      </w:r>
      <w:r w:rsidRPr="007B26A3">
        <w:rPr>
          <w:i/>
          <w:lang w:val="it-IT"/>
        </w:rPr>
        <w:t>E50, E4, C39, C53</w:t>
      </w:r>
    </w:p>
    <w:p w14:paraId="67004ACD" w14:textId="77777777" w:rsidR="00AB6A88" w:rsidRPr="007B26A3" w:rsidRDefault="00AB6A88" w:rsidP="008121DA">
      <w:pPr>
        <w:pStyle w:val="TitleOfPaperCover"/>
        <w:jc w:val="both"/>
        <w:rPr>
          <w:lang w:val="it-IT"/>
        </w:rPr>
      </w:pPr>
    </w:p>
    <w:p w14:paraId="11428540" w14:textId="77777777" w:rsidR="00C84D63" w:rsidRDefault="008121DA" w:rsidP="008121DA">
      <w:pPr>
        <w:pStyle w:val="TitleOfPaperCover"/>
        <w:spacing w:line="240" w:lineRule="auto"/>
        <w:jc w:val="both"/>
      </w:pPr>
      <w:r>
        <w:t>*</w:t>
      </w:r>
      <w:r w:rsidRPr="008121DA">
        <w:rPr>
          <w:b/>
        </w:rPr>
        <w:t>Corresponding author.</w:t>
      </w:r>
      <w:r>
        <w:t xml:space="preserve"> </w:t>
      </w:r>
      <w:r w:rsidRPr="008121DA">
        <w:t>Centre for Empiri</w:t>
      </w:r>
      <w:r w:rsidR="00C84D63">
        <w:t xml:space="preserve">cal Finance, Brunel University </w:t>
      </w:r>
      <w:r w:rsidRPr="008121DA">
        <w:t xml:space="preserve">London, UB8 3PH, UK. Tel.: +44 (0)1895 266713. Fax: +44 (0)1895 269770. </w:t>
      </w:r>
    </w:p>
    <w:p w14:paraId="3FFE9582" w14:textId="77777777" w:rsidR="008121DA" w:rsidRPr="00535A4C" w:rsidRDefault="008121DA" w:rsidP="008121DA">
      <w:pPr>
        <w:pStyle w:val="TitleOfPaperCover"/>
        <w:spacing w:line="240" w:lineRule="auto"/>
        <w:jc w:val="both"/>
      </w:pPr>
      <w:r w:rsidRPr="008121DA">
        <w:t>Email: Guglielmo-Maria.Caporale@brunel.ac.uk</w:t>
      </w:r>
    </w:p>
    <w:p w14:paraId="24BA6AFA" w14:textId="77777777" w:rsidR="00AB6A88" w:rsidRPr="00535A4C" w:rsidRDefault="00AB6A88" w:rsidP="00E8204B">
      <w:pPr>
        <w:pStyle w:val="AuthorInfo"/>
        <w:jc w:val="both"/>
      </w:pPr>
    </w:p>
    <w:p w14:paraId="1EA6CEFD" w14:textId="77777777" w:rsidR="00AB6A88" w:rsidRPr="00535A4C" w:rsidRDefault="00AB6A88" w:rsidP="00E8204B">
      <w:pPr>
        <w:pStyle w:val="StyleRight05"/>
        <w:jc w:val="both"/>
        <w:rPr>
          <w:rFonts w:ascii="Times New Roman" w:hAnsi="Times New Roman"/>
        </w:rPr>
      </w:pPr>
    </w:p>
    <w:p w14:paraId="005F9568" w14:textId="77777777" w:rsidR="00AB6A88" w:rsidRPr="00535A4C" w:rsidRDefault="00AB6A88" w:rsidP="00E8204B">
      <w:pPr>
        <w:pStyle w:val="StyleRight05"/>
        <w:jc w:val="both"/>
        <w:rPr>
          <w:rFonts w:ascii="Times New Roman" w:hAnsi="Times New Roman"/>
        </w:rPr>
      </w:pPr>
    </w:p>
    <w:p w14:paraId="6DF373EC" w14:textId="77777777" w:rsidR="00AB6A88" w:rsidRPr="00535A4C" w:rsidRDefault="00DD24A9" w:rsidP="00E8204B">
      <w:pPr>
        <w:pStyle w:val="Heading1"/>
        <w:jc w:val="both"/>
      </w:pPr>
      <w:r>
        <w:lastRenderedPageBreak/>
        <w:t>1</w:t>
      </w:r>
      <w:r w:rsidR="00F327AD">
        <w:t xml:space="preserve">. </w:t>
      </w:r>
      <w:r w:rsidR="00280E75" w:rsidRPr="00535A4C">
        <w:t>INTRODUCTION</w:t>
      </w:r>
    </w:p>
    <w:p w14:paraId="2FB306F8" w14:textId="77777777" w:rsidR="008228DC" w:rsidRDefault="007D47AD" w:rsidP="007D47AD">
      <w:pPr>
        <w:pStyle w:val="BodyText"/>
        <w:ind w:firstLine="0"/>
        <w:jc w:val="both"/>
        <w:rPr>
          <w:lang w:val="en-GB"/>
        </w:rPr>
      </w:pPr>
      <w:r>
        <w:rPr>
          <w:lang w:val="en-GB"/>
        </w:rPr>
        <w:t>The long-</w:t>
      </w:r>
      <w:r w:rsidR="00AB6A88" w:rsidRPr="00535A4C">
        <w:rPr>
          <w:lang w:val="en-GB"/>
        </w:rPr>
        <w:t>run relationship between bond yields and price</w:t>
      </w:r>
      <w:r w:rsidR="00284C8F">
        <w:rPr>
          <w:lang w:val="en-GB"/>
        </w:rPr>
        <w:t>s</w:t>
      </w:r>
      <w:r w:rsidR="00AB6A88" w:rsidRPr="00535A4C">
        <w:rPr>
          <w:lang w:val="en-GB"/>
        </w:rPr>
        <w:t xml:space="preserve"> </w:t>
      </w:r>
      <w:r>
        <w:rPr>
          <w:lang w:val="en-GB"/>
        </w:rPr>
        <w:t xml:space="preserve">first noticed </w:t>
      </w:r>
      <w:r w:rsidR="00AB6A88" w:rsidRPr="00535A4C">
        <w:rPr>
          <w:lang w:val="en-GB"/>
        </w:rPr>
        <w:t xml:space="preserve">by </w:t>
      </w:r>
      <w:r w:rsidR="00AB6A88" w:rsidRPr="00535A4C">
        <w:rPr>
          <w:lang w:val="en-GB"/>
        </w:rPr>
        <w:fldChar w:fldCharType="begin"/>
      </w:r>
      <w:r w:rsidR="00A861CE" w:rsidRPr="00535A4C">
        <w:rPr>
          <w:lang w:val="en-GB"/>
        </w:rPr>
        <w:instrText xml:space="preserve"> ADDIN PAPERS2_CITATIONS &lt;citation&gt;&lt;uuid&gt;0075A774-88EC-4C20-B57F-6D8E75F65D7D&lt;/uuid&gt;&lt;priority&gt;0&lt;/priority&gt;&lt;publications&gt;&lt;publication&gt;&lt;volume&gt;115&lt;/volume&gt;&lt;startpage&gt;15&lt;/startpage&gt;&lt;title&gt;The future course of high class investment values&lt;/title&gt;&lt;uuid&gt;A235C5FB-5488-4690-BC41-F73F0F3E1D8C&lt;/uuid&gt;&lt;subtype&gt;400&lt;/subtype&gt;&lt;endpage&gt;34&lt;/endpage&gt;&lt;type&gt;400&lt;/type&gt;&lt;publication_date&gt;99192300001200000000200000&lt;/publication_date&gt;&lt;bundle&gt;&lt;publication&gt;&lt;title&gt;Banker's Magazine (London)&lt;/title&gt;&lt;type&gt;-100&lt;/type&gt;&lt;subtype&gt;-100&lt;/subtype&gt;&lt;uuid&gt;507E1804-09D3-4BA6-B027-826FB46C4A10&lt;/uuid&gt;&lt;/publication&gt;&lt;/bundle&gt;&lt;authors&gt;&lt;author&gt;&lt;firstName&gt;A&lt;/firstName&gt;&lt;middleNames&gt;H&lt;/middleNames&gt;&lt;lastName&gt;Gibson&lt;/lastName&gt;&lt;/author&gt;&lt;/authors&gt;&lt;/publication&gt;&lt;/publications&gt;&lt;cites&gt;&lt;/cites&gt;&lt;/citation&gt;</w:instrText>
      </w:r>
      <w:r w:rsidR="00AB6A88" w:rsidRPr="00535A4C">
        <w:rPr>
          <w:lang w:val="en-GB"/>
        </w:rPr>
        <w:fldChar w:fldCharType="separate"/>
      </w:r>
      <w:r w:rsidR="008A672F" w:rsidRPr="00535A4C">
        <w:rPr>
          <w:lang w:val="en-GB"/>
        </w:rPr>
        <w:t>Gibson</w:t>
      </w:r>
      <w:r w:rsidR="00AB6A88" w:rsidRPr="00535A4C">
        <w:rPr>
          <w:lang w:val="en-GB"/>
        </w:rPr>
        <w:t xml:space="preserve"> </w:t>
      </w:r>
      <w:r w:rsidR="00AC48D4">
        <w:rPr>
          <w:lang w:val="en-GB"/>
        </w:rPr>
        <w:t>(</w:t>
      </w:r>
      <w:r w:rsidR="00AB6A88" w:rsidRPr="00535A4C">
        <w:rPr>
          <w:lang w:val="en-GB"/>
        </w:rPr>
        <w:t>1923)</w:t>
      </w:r>
      <w:r w:rsidR="00AB6A88" w:rsidRPr="00535A4C">
        <w:rPr>
          <w:lang w:val="en-GB"/>
        </w:rPr>
        <w:fldChar w:fldCharType="end"/>
      </w:r>
      <w:r w:rsidR="00B672D2" w:rsidRPr="00535A4C">
        <w:rPr>
          <w:lang w:val="en-GB"/>
        </w:rPr>
        <w:t>,</w:t>
      </w:r>
      <w:r w:rsidR="00AB6A88" w:rsidRPr="00535A4C">
        <w:rPr>
          <w:lang w:val="en-GB"/>
        </w:rPr>
        <w:t xml:space="preserve"> </w:t>
      </w:r>
      <w:r>
        <w:rPr>
          <w:lang w:val="en-GB"/>
        </w:rPr>
        <w:t xml:space="preserve"> </w:t>
      </w:r>
      <w:r w:rsidR="00AB6A88" w:rsidRPr="00535A4C">
        <w:rPr>
          <w:lang w:val="en-GB"/>
        </w:rPr>
        <w:t xml:space="preserve">has become known </w:t>
      </w:r>
      <w:r>
        <w:rPr>
          <w:lang w:val="en-GB"/>
        </w:rPr>
        <w:t>in the literature as Gibson</w:t>
      </w:r>
      <w:r w:rsidR="00F72F33">
        <w:rPr>
          <w:lang w:val="en-GB"/>
        </w:rPr>
        <w:t>’s</w:t>
      </w:r>
      <w:r>
        <w:rPr>
          <w:lang w:val="en-GB"/>
        </w:rPr>
        <w:t xml:space="preserve"> paradox</w:t>
      </w:r>
      <w:r w:rsidR="00AB6A88" w:rsidRPr="00535A4C">
        <w:rPr>
          <w:lang w:val="en-GB"/>
        </w:rPr>
        <w:t xml:space="preserve">. </w:t>
      </w:r>
      <w:r>
        <w:rPr>
          <w:lang w:val="en-GB"/>
        </w:rPr>
        <w:t>Numero</w:t>
      </w:r>
      <w:r w:rsidR="00F72F33">
        <w:rPr>
          <w:lang w:val="en-GB"/>
        </w:rPr>
        <w:t>us studies have been carried out and have failed to account for it:</w:t>
      </w:r>
      <w:r>
        <w:rPr>
          <w:lang w:val="en-GB"/>
        </w:rPr>
        <w:t xml:space="preserve"> </w:t>
      </w:r>
      <w:r w:rsidR="00AB6A88" w:rsidRPr="00535A4C">
        <w:rPr>
          <w:lang w:val="en-GB"/>
        </w:rPr>
        <w:fldChar w:fldCharType="begin"/>
      </w:r>
      <w:r w:rsidR="00C57097" w:rsidRPr="00535A4C">
        <w:rPr>
          <w:lang w:val="en-GB"/>
        </w:rPr>
        <w:instrText xml:space="preserve"> ADDIN PAPERS2_CITATIONS &lt;citation&gt;&lt;uuid&gt;1FA4FA12-31BF-4C23-8687-13F8CA55A191&lt;/uuid&gt;&lt;priority&gt;2&lt;/priority&gt;&lt;publications&gt;&lt;publication&gt;&lt;startpage&gt;130&lt;/startpage&gt;&lt;title&gt;From Gibson to Fisher&lt;/title&gt;&lt;uuid&gt;4935A9F9-FB68-44BD-87E4-42705709B7F9&lt;/uuid&gt;&lt;subtype&gt;420&lt;/subtype&gt;&lt;publisher&gt;NBER&lt;/publisher&gt;&lt;type&gt;400&lt;/type&gt;&lt;endpage&gt;133&lt;/endpage&gt;&lt;publication_date&gt;99197600001200000000200000&lt;/publication_date&gt;&lt;bundle&gt;&lt;publication&gt;&lt;publisher&gt;NBER&lt;/publisher&gt;&lt;title&gt;Explorations in Economic Research, Volume 3, number 2 (Conference on International Trade, Finance, and Development of Pacific Basin Countries, December 6-7, 1974&lt;/title&gt;&lt;type&gt;-200&lt;/type&gt;&lt;subtype&gt;-200&lt;/subtype&gt;&lt;uuid&gt;42CD4D43-BABE-4E93-AF23-4EE593408C05&lt;/uuid&gt;&lt;/publication&gt;&lt;/bundle&gt;&lt;authors&gt;&lt;author&gt;&lt;firstName&gt;Milton&lt;/firstName&gt;&lt;lastName&gt;Friedman&lt;/lastName&gt;&lt;/author&gt;&lt;author&gt;&lt;firstName&gt;Anna&lt;/firstName&gt;&lt;middleNames&gt;J&lt;/middleNames&gt;&lt;lastName&gt;Schwartz&lt;/lastName&gt;&lt;/author&gt;&lt;/authors&gt;&lt;/publication&gt;&lt;/publications&gt;&lt;cites&gt;&lt;/cites&gt;&lt;/citation&gt;</w:instrText>
      </w:r>
      <w:r w:rsidR="00AB6A88" w:rsidRPr="00535A4C">
        <w:rPr>
          <w:lang w:val="en-GB"/>
        </w:rPr>
        <w:fldChar w:fldCharType="separate"/>
      </w:r>
      <w:r w:rsidR="00280E75" w:rsidRPr="00535A4C">
        <w:rPr>
          <w:lang w:val="en-GB"/>
        </w:rPr>
        <w:t>Friedman and</w:t>
      </w:r>
      <w:r w:rsidR="008A672F" w:rsidRPr="00535A4C">
        <w:rPr>
          <w:lang w:val="en-GB"/>
        </w:rPr>
        <w:t xml:space="preserve"> Schwartz</w:t>
      </w:r>
      <w:r w:rsidR="00AB6A88" w:rsidRPr="00535A4C">
        <w:rPr>
          <w:lang w:val="en-GB"/>
        </w:rPr>
        <w:t xml:space="preserve"> </w:t>
      </w:r>
      <w:r w:rsidR="00AC48D4">
        <w:rPr>
          <w:lang w:val="en-GB"/>
        </w:rPr>
        <w:t>(</w:t>
      </w:r>
      <w:r w:rsidR="00AB6A88" w:rsidRPr="00535A4C">
        <w:rPr>
          <w:lang w:val="en-GB"/>
        </w:rPr>
        <w:t>1976)</w:t>
      </w:r>
      <w:r w:rsidR="00AB6A88" w:rsidRPr="00535A4C">
        <w:rPr>
          <w:lang w:val="en-GB"/>
        </w:rPr>
        <w:fldChar w:fldCharType="end"/>
      </w:r>
      <w:r>
        <w:rPr>
          <w:lang w:val="en-GB"/>
        </w:rPr>
        <w:t xml:space="preserve"> </w:t>
      </w:r>
      <w:r w:rsidR="00121661">
        <w:rPr>
          <w:lang w:val="en-GB"/>
        </w:rPr>
        <w:t xml:space="preserve">in fact </w:t>
      </w:r>
      <w:r>
        <w:rPr>
          <w:lang w:val="en-GB"/>
        </w:rPr>
        <w:t xml:space="preserve">defined it </w:t>
      </w:r>
      <w:r w:rsidR="00AB6A88" w:rsidRPr="00535A4C">
        <w:rPr>
          <w:lang w:val="en-GB"/>
        </w:rPr>
        <w:t xml:space="preserve">as </w:t>
      </w:r>
      <w:r>
        <w:rPr>
          <w:lang w:val="en-GB"/>
        </w:rPr>
        <w:t xml:space="preserve">an </w:t>
      </w:r>
      <w:r w:rsidR="00AB6A88" w:rsidRPr="00535A4C">
        <w:rPr>
          <w:lang w:val="en-GB"/>
        </w:rPr>
        <w:t>“empirical phenomenon without</w:t>
      </w:r>
      <w:r w:rsidR="00B672D2" w:rsidRPr="00535A4C">
        <w:rPr>
          <w:lang w:val="en-GB"/>
        </w:rPr>
        <w:t xml:space="preserve"> a</w:t>
      </w:r>
      <w:r w:rsidR="00AB6A88" w:rsidRPr="00535A4C">
        <w:rPr>
          <w:lang w:val="en-GB"/>
        </w:rPr>
        <w:t xml:space="preserve"> theoretical explanation”.</w:t>
      </w:r>
      <w:r>
        <w:rPr>
          <w:lang w:val="en-GB"/>
        </w:rPr>
        <w:t xml:space="preserve"> The original study by </w:t>
      </w:r>
      <w:r w:rsidR="00AB6A88" w:rsidRPr="00535A4C">
        <w:rPr>
          <w:lang w:val="en-GB"/>
        </w:rPr>
        <w:fldChar w:fldCharType="begin"/>
      </w:r>
      <w:r w:rsidR="00C57097" w:rsidRPr="00535A4C">
        <w:rPr>
          <w:lang w:val="en-GB"/>
        </w:rPr>
        <w:instrText xml:space="preserve"> ADDIN PAPERS2_CITATIONS &lt;citation&gt;&lt;uuid&gt;47D4C28D-AF10-4FC7-9A6B-D2D9EDC44B44&lt;/uuid&gt;&lt;priority&gt;3&lt;/priority&gt;&lt;publications&gt;&lt;publication&gt;&lt;volume&gt;115&lt;/volume&gt;&lt;startpage&gt;15&lt;/startpage&gt;&lt;title&gt;The future course of high class investment values&lt;/title&gt;&lt;uuid&gt;A235C5FB-5488-4690-BC41-F73F0F3E1D8C&lt;/uuid&gt;&lt;subtype&gt;400&lt;/subtype&gt;&lt;endpage&gt;34&lt;/endpage&gt;&lt;type&gt;400&lt;/type&gt;&lt;publication_date&gt;99192300001200000000200000&lt;/publication_date&gt;&lt;bundle&gt;&lt;publication&gt;&lt;title&gt;Banker's Magazine (London)&lt;/title&gt;&lt;type&gt;-100&lt;/type&gt;&lt;subtype&gt;-100&lt;/subtype&gt;&lt;uuid&gt;507E1804-09D3-4BA6-B027-826FB46C4A10&lt;/uuid&gt;&lt;/publication&gt;&lt;/bundle&gt;&lt;authors&gt;&lt;author&gt;&lt;firstName&gt;A&lt;/firstName&gt;&lt;middleNames&gt;H&lt;/middleNames&gt;&lt;lastName&gt;Gibson&lt;/lastName&gt;&lt;/author&gt;&lt;/authors&gt;&lt;/publication&gt;&lt;/publications&gt;&lt;cites&gt;&lt;/cites&gt;&lt;/citation&gt;</w:instrText>
      </w:r>
      <w:r w:rsidR="00AB6A88" w:rsidRPr="00535A4C">
        <w:rPr>
          <w:lang w:val="en-GB"/>
        </w:rPr>
        <w:fldChar w:fldCharType="separate"/>
      </w:r>
      <w:r w:rsidR="008D5712" w:rsidRPr="00535A4C">
        <w:rPr>
          <w:lang w:val="en-GB"/>
        </w:rPr>
        <w:t>Gibson</w:t>
      </w:r>
      <w:r w:rsidR="00C57097" w:rsidRPr="00535A4C">
        <w:rPr>
          <w:lang w:val="en-GB"/>
        </w:rPr>
        <w:t xml:space="preserve"> </w:t>
      </w:r>
      <w:r w:rsidR="008D5712" w:rsidRPr="00535A4C">
        <w:rPr>
          <w:lang w:val="en-GB"/>
        </w:rPr>
        <w:t>(</w:t>
      </w:r>
      <w:r w:rsidR="00C57097" w:rsidRPr="00535A4C">
        <w:rPr>
          <w:lang w:val="en-GB"/>
        </w:rPr>
        <w:t>1923)</w:t>
      </w:r>
      <w:r w:rsidR="00AB6A88" w:rsidRPr="00535A4C">
        <w:rPr>
          <w:lang w:val="en-GB"/>
        </w:rPr>
        <w:fldChar w:fldCharType="end"/>
      </w:r>
      <w:r w:rsidR="00AB6A88" w:rsidRPr="00535A4C">
        <w:rPr>
          <w:lang w:val="en-GB"/>
        </w:rPr>
        <w:t xml:space="preserve"> </w:t>
      </w:r>
      <w:r w:rsidR="00F72F33">
        <w:rPr>
          <w:lang w:val="en-GB"/>
        </w:rPr>
        <w:t xml:space="preserve">examined </w:t>
      </w:r>
      <w:r w:rsidR="00AB6A88" w:rsidRPr="00535A4C">
        <w:rPr>
          <w:lang w:val="en-GB"/>
        </w:rPr>
        <w:t>th</w:t>
      </w:r>
      <w:r>
        <w:rPr>
          <w:lang w:val="en-GB"/>
        </w:rPr>
        <w:t>e long-</w:t>
      </w:r>
      <w:r w:rsidR="00AB6A88" w:rsidRPr="00535A4C">
        <w:rPr>
          <w:lang w:val="en-GB"/>
        </w:rPr>
        <w:t>ru</w:t>
      </w:r>
      <w:r w:rsidR="00121661">
        <w:rPr>
          <w:lang w:val="en-GB"/>
        </w:rPr>
        <w:t xml:space="preserve">n correlation between the cost </w:t>
      </w:r>
      <w:r w:rsidR="00AB6A88" w:rsidRPr="00535A4C">
        <w:rPr>
          <w:lang w:val="en-GB"/>
        </w:rPr>
        <w:t xml:space="preserve">of living and </w:t>
      </w:r>
      <w:r>
        <w:rPr>
          <w:lang w:val="en-GB"/>
        </w:rPr>
        <w:t xml:space="preserve">bond </w:t>
      </w:r>
      <w:r w:rsidR="00AB6A88" w:rsidRPr="00535A4C">
        <w:rPr>
          <w:lang w:val="en-GB"/>
        </w:rPr>
        <w:t>yields</w:t>
      </w:r>
      <w:r w:rsidR="00A92CB8" w:rsidRPr="00535A4C">
        <w:rPr>
          <w:lang w:val="en-GB"/>
        </w:rPr>
        <w:t xml:space="preserve"> (</w:t>
      </w:r>
      <w:proofErr w:type="spellStart"/>
      <w:r w:rsidR="00A92CB8" w:rsidRPr="00535A4C">
        <w:rPr>
          <w:lang w:val="en-GB"/>
        </w:rPr>
        <w:t>consols</w:t>
      </w:r>
      <w:proofErr w:type="spellEnd"/>
      <w:r w:rsidR="00A92CB8" w:rsidRPr="00535A4C">
        <w:rPr>
          <w:lang w:val="en-GB"/>
        </w:rPr>
        <w:t>)</w:t>
      </w:r>
      <w:r>
        <w:rPr>
          <w:lang w:val="en-GB"/>
        </w:rPr>
        <w:t xml:space="preserve"> in Britain</w:t>
      </w:r>
      <w:r w:rsidR="00AB6A88" w:rsidRPr="00535A4C">
        <w:rPr>
          <w:lang w:val="en-GB"/>
        </w:rPr>
        <w:t xml:space="preserve">. </w:t>
      </w:r>
      <w:r w:rsidR="00AB6A88" w:rsidRPr="00535A4C">
        <w:rPr>
          <w:lang w:val="en-GB"/>
        </w:rPr>
        <w:fldChar w:fldCharType="begin"/>
      </w:r>
      <w:r w:rsidR="00C57097" w:rsidRPr="00535A4C">
        <w:rPr>
          <w:lang w:val="en-GB"/>
        </w:rPr>
        <w:instrText xml:space="preserve"> ADDIN PAPERS2_CITATIONS &lt;citation&gt;&lt;uuid&gt;AF0DF0ED-B446-420F-9207-58259DFF78F6&lt;/uuid&gt;&lt;priority&gt;6&lt;/priority&gt;&lt;publications&gt;&lt;publication&gt;&lt;location&gt;200,4,40.7143528,-74.0059731&lt;/location&gt;&lt;volume&gt;43&lt;/volume&gt;&lt;title&gt;The theory of interest&lt;/title&gt;&lt;uuid&gt;449D0F4A-3E1E-4784-9173-E35ADDFBCB2B&lt;/uuid&gt;&lt;subtype&gt;0&lt;/subtype&gt;&lt;publisher&gt;The Macmillan Company&lt;/publisher&gt;&lt;type&gt;0&lt;/type&gt;&lt;place&gt;New York&lt;/place&gt;&lt;publication_date&gt;99193000001200000000200000&lt;/publication_date&gt;&lt;authors&gt;&lt;author&gt;&lt;firstName&gt;Irving&lt;/firstName&gt;&lt;lastName&gt;Fisher&lt;/lastName&gt;&lt;/author&gt;&lt;/authors&gt;&lt;/publication&gt;&lt;/publications&gt;&lt;cites&gt;&lt;/cites&gt;&lt;/citation&gt;</w:instrText>
      </w:r>
      <w:r w:rsidR="00AB6A88" w:rsidRPr="00535A4C">
        <w:rPr>
          <w:lang w:val="en-GB"/>
        </w:rPr>
        <w:fldChar w:fldCharType="separate"/>
      </w:r>
      <w:r w:rsidR="008D5712" w:rsidRPr="00535A4C">
        <w:rPr>
          <w:lang w:val="en-GB"/>
        </w:rPr>
        <w:t>Fisher</w:t>
      </w:r>
      <w:r w:rsidR="00AB6A88" w:rsidRPr="00535A4C">
        <w:rPr>
          <w:lang w:val="en-GB"/>
        </w:rPr>
        <w:t xml:space="preserve"> </w:t>
      </w:r>
      <w:r w:rsidR="008D5712" w:rsidRPr="00535A4C">
        <w:rPr>
          <w:lang w:val="en-GB"/>
        </w:rPr>
        <w:t>(</w:t>
      </w:r>
      <w:r w:rsidR="00AB6A88" w:rsidRPr="00535A4C">
        <w:rPr>
          <w:lang w:val="en-GB"/>
        </w:rPr>
        <w:t>1930)</w:t>
      </w:r>
      <w:r w:rsidR="00AB6A88" w:rsidRPr="00535A4C">
        <w:rPr>
          <w:lang w:val="en-GB"/>
        </w:rPr>
        <w:fldChar w:fldCharType="end"/>
      </w:r>
      <w:r w:rsidR="00AB6A88" w:rsidRPr="00535A4C">
        <w:rPr>
          <w:lang w:val="en-GB"/>
        </w:rPr>
        <w:t xml:space="preserve"> </w:t>
      </w:r>
      <w:r w:rsidR="00F72F33">
        <w:rPr>
          <w:lang w:val="en-GB"/>
        </w:rPr>
        <w:t xml:space="preserve">focused on </w:t>
      </w:r>
      <w:r w:rsidR="00AB6A88" w:rsidRPr="00535A4C">
        <w:rPr>
          <w:lang w:val="en-GB"/>
        </w:rPr>
        <w:t xml:space="preserve">expected inflation </w:t>
      </w:r>
      <w:r w:rsidR="00F72F33">
        <w:rPr>
          <w:lang w:val="en-GB"/>
        </w:rPr>
        <w:t xml:space="preserve">to explain </w:t>
      </w:r>
      <w:r w:rsidR="00AB6A88" w:rsidRPr="00535A4C">
        <w:rPr>
          <w:lang w:val="en-GB"/>
        </w:rPr>
        <w:t xml:space="preserve">the difference between </w:t>
      </w:r>
      <w:r w:rsidR="00F72F33">
        <w:rPr>
          <w:lang w:val="en-GB"/>
        </w:rPr>
        <w:t xml:space="preserve">nominal and real interest rates and </w:t>
      </w:r>
      <w:r w:rsidR="00AB6A88" w:rsidRPr="00535A4C">
        <w:rPr>
          <w:lang w:val="en-GB"/>
        </w:rPr>
        <w:t xml:space="preserve">resolve the paradox. </w:t>
      </w:r>
      <w:r w:rsidR="00F72F33">
        <w:rPr>
          <w:lang w:val="en-GB"/>
        </w:rPr>
        <w:t xml:space="preserve">By contrast, </w:t>
      </w:r>
      <w:r w:rsidR="00AB6A88" w:rsidRPr="00535A4C">
        <w:rPr>
          <w:lang w:val="en-GB"/>
        </w:rPr>
        <w:fldChar w:fldCharType="begin"/>
      </w:r>
      <w:r w:rsidR="00C57097" w:rsidRPr="00535A4C">
        <w:rPr>
          <w:lang w:val="en-GB"/>
        </w:rPr>
        <w:instrText xml:space="preserve"> ADDIN PAPERS2_CITATIONS &lt;citation&gt;&lt;uuid&gt;A04ABA64-DF6A-4519-994A-C5E2F6199E6A&lt;/uuid&gt;&lt;priority&gt;7&lt;/priority&gt;&lt;publications&gt;&lt;publication&gt;&lt;volume&gt;2&lt;/volume&gt;&lt;title&gt;A treatise on money&lt;/title&gt;&lt;uuid&gt;A85BBC19-E344-411F-B196-3EA76323357D&lt;/uuid&gt;&lt;subtype&gt;0&lt;/subtype&gt;&lt;publisher&gt;AMS Press&lt;/publisher&gt;&lt;type&gt;0&lt;/type&gt;&lt;publication_date&gt;99197600001200000000200000&lt;/publication_date&gt;&lt;authors&gt;&lt;author&gt;&lt;firstName&gt;John&lt;/firstName&gt;&lt;middleNames&gt;Maynard&lt;/middleNames&gt;&lt;lastName&gt;Keynes&lt;/lastName&gt;&lt;/author&gt;&lt;/authors&gt;&lt;/publication&gt;&lt;/publications&gt;&lt;cites&gt;&lt;/cites&gt;&lt;/citation&gt;</w:instrText>
      </w:r>
      <w:r w:rsidR="00AB6A88" w:rsidRPr="00535A4C">
        <w:rPr>
          <w:lang w:val="en-GB"/>
        </w:rPr>
        <w:fldChar w:fldCharType="separate"/>
      </w:r>
      <w:r w:rsidR="008D5712" w:rsidRPr="00535A4C">
        <w:rPr>
          <w:lang w:val="en-GB"/>
        </w:rPr>
        <w:t>Keynes</w:t>
      </w:r>
      <w:r w:rsidR="00280E75" w:rsidRPr="00535A4C">
        <w:rPr>
          <w:lang w:val="en-GB"/>
        </w:rPr>
        <w:t xml:space="preserve"> </w:t>
      </w:r>
      <w:r w:rsidR="008D5712" w:rsidRPr="00535A4C">
        <w:rPr>
          <w:lang w:val="en-GB"/>
        </w:rPr>
        <w:t>(</w:t>
      </w:r>
      <w:r w:rsidR="00280E75" w:rsidRPr="00535A4C">
        <w:rPr>
          <w:lang w:val="en-GB"/>
        </w:rPr>
        <w:t>1930</w:t>
      </w:r>
      <w:r w:rsidR="00C57097" w:rsidRPr="00535A4C">
        <w:rPr>
          <w:lang w:val="en-GB"/>
        </w:rPr>
        <w:t>)</w:t>
      </w:r>
      <w:r w:rsidR="00AB6A88" w:rsidRPr="00535A4C">
        <w:rPr>
          <w:lang w:val="en-GB"/>
        </w:rPr>
        <w:fldChar w:fldCharType="end"/>
      </w:r>
      <w:r w:rsidR="008D5712" w:rsidRPr="00535A4C">
        <w:rPr>
          <w:lang w:val="en-GB"/>
        </w:rPr>
        <w:t xml:space="preserve"> </w:t>
      </w:r>
      <w:r w:rsidR="00F72F33">
        <w:rPr>
          <w:lang w:val="en-GB"/>
        </w:rPr>
        <w:t>in</w:t>
      </w:r>
      <w:r w:rsidR="00284C8F">
        <w:rPr>
          <w:lang w:val="en-GB"/>
        </w:rPr>
        <w:t>terpreted it in terms of the so-</w:t>
      </w:r>
      <w:r w:rsidR="00F72F33">
        <w:rPr>
          <w:lang w:val="en-GB"/>
        </w:rPr>
        <w:t xml:space="preserve">called </w:t>
      </w:r>
      <w:r w:rsidR="00AB6A88" w:rsidRPr="00F72F33">
        <w:rPr>
          <w:lang w:val="en-GB"/>
        </w:rPr>
        <w:t>Keynes’ effect</w:t>
      </w:r>
      <w:r w:rsidR="00F72F33">
        <w:rPr>
          <w:lang w:val="en-GB"/>
        </w:rPr>
        <w:t>: in his opinion, l</w:t>
      </w:r>
      <w:r w:rsidR="00AB6A88" w:rsidRPr="00535A4C">
        <w:rPr>
          <w:lang w:val="en-GB"/>
        </w:rPr>
        <w:t xml:space="preserve">ong-term nominal </w:t>
      </w:r>
      <w:r w:rsidR="00284C8F">
        <w:rPr>
          <w:lang w:val="en-GB"/>
        </w:rPr>
        <w:t xml:space="preserve">interest </w:t>
      </w:r>
      <w:r w:rsidR="00AB6A88" w:rsidRPr="00535A4C">
        <w:rPr>
          <w:lang w:val="en-GB"/>
        </w:rPr>
        <w:t>rate</w:t>
      </w:r>
      <w:r w:rsidR="00F72F33">
        <w:rPr>
          <w:lang w:val="en-GB"/>
        </w:rPr>
        <w:t>s</w:t>
      </w:r>
      <w:r w:rsidR="00AB6A88" w:rsidRPr="00535A4C">
        <w:rPr>
          <w:lang w:val="en-GB"/>
        </w:rPr>
        <w:t xml:space="preserve"> </w:t>
      </w:r>
      <w:r w:rsidR="00F72F33">
        <w:rPr>
          <w:lang w:val="en-GB"/>
        </w:rPr>
        <w:t>move</w:t>
      </w:r>
      <w:r w:rsidR="00AB6A88" w:rsidRPr="00535A4C">
        <w:rPr>
          <w:lang w:val="en-GB"/>
        </w:rPr>
        <w:t xml:space="preserve"> together</w:t>
      </w:r>
      <w:r w:rsidR="00F72F33">
        <w:rPr>
          <w:lang w:val="en-GB"/>
        </w:rPr>
        <w:t xml:space="preserve"> </w:t>
      </w:r>
      <w:r w:rsidR="00AB6A88" w:rsidRPr="00535A4C">
        <w:rPr>
          <w:lang w:val="en-GB"/>
        </w:rPr>
        <w:t>with the natural rate of interest</w:t>
      </w:r>
      <w:r w:rsidR="00F72F33">
        <w:rPr>
          <w:lang w:val="en-GB"/>
        </w:rPr>
        <w:t xml:space="preserve"> (with a lag)</w:t>
      </w:r>
      <w:r w:rsidR="00B672D2" w:rsidRPr="00535A4C">
        <w:rPr>
          <w:lang w:val="en-GB"/>
        </w:rPr>
        <w:t>,</w:t>
      </w:r>
      <w:r w:rsidR="00AB6A88" w:rsidRPr="00535A4C">
        <w:rPr>
          <w:lang w:val="en-GB"/>
        </w:rPr>
        <w:t xml:space="preserve"> </w:t>
      </w:r>
      <w:r w:rsidR="00F72F33">
        <w:rPr>
          <w:lang w:val="en-GB"/>
        </w:rPr>
        <w:t xml:space="preserve">which accounts for the co-movement between interest rates and prices. The </w:t>
      </w:r>
      <w:proofErr w:type="spellStart"/>
      <w:r w:rsidR="00AB6A88" w:rsidRPr="00535A4C">
        <w:rPr>
          <w:lang w:val="en-GB"/>
        </w:rPr>
        <w:t>Harrod</w:t>
      </w:r>
      <w:proofErr w:type="spellEnd"/>
      <w:r w:rsidR="00AB6A88" w:rsidRPr="00535A4C">
        <w:rPr>
          <w:lang w:val="en-GB"/>
        </w:rPr>
        <w:t>-Keynes effect</w:t>
      </w:r>
      <w:r w:rsidR="00AC48D4">
        <w:rPr>
          <w:lang w:val="en-GB"/>
        </w:rPr>
        <w:t>,</w:t>
      </w:r>
      <w:r w:rsidR="00AB6A88" w:rsidRPr="00535A4C">
        <w:rPr>
          <w:lang w:val="en-GB"/>
        </w:rPr>
        <w:t xml:space="preserve"> </w:t>
      </w:r>
      <w:r w:rsidR="00AB6A88" w:rsidRPr="00535A4C">
        <w:rPr>
          <w:lang w:val="en-GB"/>
        </w:rPr>
        <w:fldChar w:fldCharType="begin"/>
      </w:r>
      <w:r w:rsidR="00C57097" w:rsidRPr="00535A4C">
        <w:rPr>
          <w:lang w:val="en-GB"/>
        </w:rPr>
        <w:instrText xml:space="preserve"> ADDIN PAPERS2_CITATIONS &lt;citation&gt;&lt;uuid&gt;5853708D-5658-4DE3-B852-E69C4F215528&lt;/uuid&gt;&lt;priority&gt;9&lt;/priority&gt;&lt;publications&gt;&lt;publication&gt;&lt;uuid&gt;3CB87079-20BB-4BA5-996C-8C4A27824740&lt;/uuid&gt;&lt;publication_date&gt;99197100001200000000200000&lt;/publication_date&gt;&lt;title&gt;Monetary theory and monetary policy in the 1970s: proceedings of the 1970 Sheffield Money Seminar&lt;/title&gt;&lt;type&gt;0&lt;/type&gt;&lt;subtype&gt;0&lt;/subtype&gt;&lt;publisher&gt;Oxford University Press&lt;/publisher&gt;&lt;authors&gt;&lt;author&gt;&lt;firstName&gt;George&lt;/firstName&gt;&lt;lastName&gt;Clayton&lt;/lastName&gt;&lt;/author&gt;&lt;author&gt;&lt;firstName&gt;John&lt;/firstName&gt;&lt;middleNames&gt;Cannon&lt;/middleNames&gt;&lt;lastName&gt;Gilbert&lt;/lastName&gt;&lt;/author&gt;&lt;author&gt;&lt;firstName&gt;Robert&lt;/firstName&gt;&lt;lastName&gt;Sedgwick&lt;/lastName&gt;&lt;/author&gt;&lt;/authors&gt;&lt;/publication&gt;&lt;/publications&gt;&lt;cites&gt;&lt;/cites&gt;&lt;/citation&gt;</w:instrText>
      </w:r>
      <w:r w:rsidR="00AB6A88" w:rsidRPr="00535A4C">
        <w:rPr>
          <w:lang w:val="en-GB"/>
        </w:rPr>
        <w:fldChar w:fldCharType="separate"/>
      </w:r>
      <w:r w:rsidR="00280E75" w:rsidRPr="00535A4C">
        <w:rPr>
          <w:lang w:val="en-GB"/>
        </w:rPr>
        <w:t>Clayton et</w:t>
      </w:r>
      <w:r w:rsidR="00AC48D4">
        <w:rPr>
          <w:lang w:val="en-GB"/>
        </w:rPr>
        <w:t xml:space="preserve"> </w:t>
      </w:r>
      <w:r w:rsidR="00280E75" w:rsidRPr="00535A4C">
        <w:rPr>
          <w:lang w:val="en-GB"/>
        </w:rPr>
        <w:t>al.</w:t>
      </w:r>
      <w:r w:rsidR="00AB6A88" w:rsidRPr="00535A4C">
        <w:rPr>
          <w:lang w:val="en-GB"/>
        </w:rPr>
        <w:t xml:space="preserve"> </w:t>
      </w:r>
      <w:r w:rsidR="00AC48D4">
        <w:rPr>
          <w:lang w:val="en-GB"/>
        </w:rPr>
        <w:t>(</w:t>
      </w:r>
      <w:r w:rsidR="00AB6A88" w:rsidRPr="00535A4C">
        <w:rPr>
          <w:lang w:val="en-GB"/>
        </w:rPr>
        <w:t>1971)</w:t>
      </w:r>
      <w:r w:rsidR="00AB6A88" w:rsidRPr="00535A4C">
        <w:rPr>
          <w:lang w:val="en-GB"/>
        </w:rPr>
        <w:fldChar w:fldCharType="end"/>
      </w:r>
      <w:r w:rsidR="00AB6A88" w:rsidRPr="00535A4C">
        <w:rPr>
          <w:lang w:val="en-GB"/>
        </w:rPr>
        <w:t xml:space="preserve"> </w:t>
      </w:r>
      <w:r w:rsidR="00F72F33">
        <w:rPr>
          <w:lang w:val="en-GB"/>
        </w:rPr>
        <w:t xml:space="preserve">links </w:t>
      </w:r>
      <w:r w:rsidR="00AB6A88" w:rsidRPr="00535A4C">
        <w:rPr>
          <w:lang w:val="en-GB"/>
        </w:rPr>
        <w:t xml:space="preserve">inflation to the real </w:t>
      </w:r>
      <w:r w:rsidR="00F72F33">
        <w:rPr>
          <w:lang w:val="en-GB"/>
        </w:rPr>
        <w:t xml:space="preserve">as opposed to the </w:t>
      </w:r>
      <w:r w:rsidR="00AB6A88" w:rsidRPr="00535A4C">
        <w:rPr>
          <w:lang w:val="en-GB"/>
        </w:rPr>
        <w:t>nomi</w:t>
      </w:r>
      <w:r w:rsidR="00F72F33">
        <w:rPr>
          <w:lang w:val="en-GB"/>
        </w:rPr>
        <w:t>nal rate. Other studies emphasis</w:t>
      </w:r>
      <w:r w:rsidR="00AB6A88" w:rsidRPr="00535A4C">
        <w:rPr>
          <w:lang w:val="en-GB"/>
        </w:rPr>
        <w:t xml:space="preserve">e </w:t>
      </w:r>
      <w:r w:rsidR="00F72F33">
        <w:rPr>
          <w:lang w:val="en-GB"/>
        </w:rPr>
        <w:t>the role of the gold standard</w:t>
      </w:r>
      <w:r w:rsidR="00AC48D4">
        <w:rPr>
          <w:lang w:val="en-GB"/>
        </w:rPr>
        <w:t>,</w:t>
      </w:r>
      <w:r w:rsidR="00F72F33">
        <w:rPr>
          <w:lang w:val="en-GB"/>
        </w:rPr>
        <w:t xml:space="preserve"> </w:t>
      </w:r>
      <w:r w:rsidR="00AB6A88" w:rsidRPr="00535A4C">
        <w:rPr>
          <w:lang w:val="en-GB"/>
        </w:rPr>
        <w:fldChar w:fldCharType="begin"/>
      </w:r>
      <w:r w:rsidR="00C57097" w:rsidRPr="00535A4C">
        <w:rPr>
          <w:lang w:val="en-GB"/>
        </w:rPr>
        <w:instrText xml:space="preserve"> ADDIN PAPERS2_CITATIONS &lt;citation&gt;&lt;uuid&gt;5F033499-0508-44C9-8A5B-156F0A71DE14&lt;/uuid&gt;&lt;priority&gt;10&lt;/priority&gt;&lt;publications&gt;&lt;publication&gt;&lt;startpage&gt;528&lt;/startpage&gt;&lt;title&gt;Gibson's paradox and the gold standard&lt;/title&gt;&lt;uuid&gt;424D37A0-1B7E-4B43-ACCE-2CDDD2317D55&lt;/uuid&gt;&lt;subtype&gt;400&lt;/subtype&gt;&lt;publisher&gt;JSTOR&lt;/publisher&gt;&lt;type&gt;400&lt;/type&gt;&lt;endpage&gt;550&lt;/endpage&gt;&lt;publication_date&gt;99198800001200000000200000&lt;/publication_date&gt;&lt;bundle&gt;&lt;publication&gt;&lt;publisher&gt;JSTOR&lt;/publisher&gt;&lt;title&gt;The Journal of Political Economy&lt;/title&gt;&lt;type&gt;-100&lt;/type&gt;&lt;subtype&gt;-100&lt;/subtype&gt;&lt;uuid&gt;0E160A48-6D6D-496A-AEB5-A5A83F3E3455&lt;/uuid&gt;&lt;/publication&gt;&lt;/bundle&gt;&lt;authors&gt;&lt;author&gt;&lt;firstName&gt;Robert&lt;/firstName&gt;&lt;middleNames&gt;B&lt;/middleNames&gt;&lt;lastName&gt;Barsky&lt;/lastName&gt;&lt;/author&gt;&lt;author&gt;&lt;firstName&gt;Lawrence&lt;/firstName&gt;&lt;middleNames&gt;H&lt;/middleNames&gt;&lt;lastName&gt;Summers&lt;/lastName&gt;&lt;/author&gt;&lt;/authors&gt;&lt;/publication&gt;&lt;/publications&gt;&lt;cites&gt;&lt;/cites&gt;&lt;/citation&gt;</w:instrText>
      </w:r>
      <w:r w:rsidR="00AB6A88" w:rsidRPr="00535A4C">
        <w:rPr>
          <w:lang w:val="en-GB"/>
        </w:rPr>
        <w:fldChar w:fldCharType="separate"/>
      </w:r>
      <w:r w:rsidR="00AB6A88" w:rsidRPr="00535A4C">
        <w:rPr>
          <w:lang w:val="en-GB"/>
        </w:rPr>
        <w:t>Bars</w:t>
      </w:r>
      <w:r w:rsidR="00280E75" w:rsidRPr="00535A4C">
        <w:rPr>
          <w:lang w:val="en-GB"/>
        </w:rPr>
        <w:t>ky and</w:t>
      </w:r>
      <w:r w:rsidR="008A672F" w:rsidRPr="00535A4C">
        <w:rPr>
          <w:lang w:val="en-GB"/>
        </w:rPr>
        <w:t xml:space="preserve"> Summers</w:t>
      </w:r>
      <w:r w:rsidR="00AB6A88" w:rsidRPr="00535A4C">
        <w:rPr>
          <w:lang w:val="en-GB"/>
        </w:rPr>
        <w:t xml:space="preserve"> </w:t>
      </w:r>
      <w:r w:rsidR="00AC48D4">
        <w:rPr>
          <w:lang w:val="en-GB"/>
        </w:rPr>
        <w:t>(</w:t>
      </w:r>
      <w:r w:rsidR="00AB6A88" w:rsidRPr="00535A4C">
        <w:rPr>
          <w:lang w:val="en-GB"/>
        </w:rPr>
        <w:t>1988)</w:t>
      </w:r>
      <w:r w:rsidR="00AB6A88" w:rsidRPr="00535A4C">
        <w:rPr>
          <w:lang w:val="en-GB"/>
        </w:rPr>
        <w:fldChar w:fldCharType="end"/>
      </w:r>
      <w:r w:rsidR="00AB6A88" w:rsidRPr="00535A4C">
        <w:rPr>
          <w:lang w:val="en-GB"/>
        </w:rPr>
        <w:t xml:space="preserve"> or </w:t>
      </w:r>
      <w:r w:rsidR="008228DC">
        <w:rPr>
          <w:lang w:val="en-GB"/>
        </w:rPr>
        <w:t xml:space="preserve">of changes in </w:t>
      </w:r>
      <w:r w:rsidR="00AB6A88" w:rsidRPr="00535A4C">
        <w:rPr>
          <w:lang w:val="en-GB"/>
        </w:rPr>
        <w:t xml:space="preserve">monetary policy </w:t>
      </w:r>
      <w:r w:rsidR="00AB6A88" w:rsidRPr="00535A4C">
        <w:rPr>
          <w:lang w:val="en-GB"/>
        </w:rPr>
        <w:fldChar w:fldCharType="begin"/>
      </w:r>
      <w:r w:rsidR="00C57097" w:rsidRPr="00535A4C">
        <w:rPr>
          <w:lang w:val="en-GB"/>
        </w:rPr>
        <w:instrText xml:space="preserve"> ADDIN PAPERS2_CITATIONS &lt;citation&gt;&lt;uuid&gt;D47A8C3A-5A79-4DDD-B845-494B0689A5DE&lt;/uuid&gt;&lt;priority&gt;11&lt;/priority&gt;&lt;publications&gt;&lt;publication&gt;&lt;uuid&gt;A927527D-1B8F-4FC5-B5A5-886583238FD0&lt;/uuid&gt;&lt;publication_date&gt;99201100001200000000200000&lt;/publication_date&gt;&lt;title&gt;The Return of the Gibson Paradox&lt;/title&gt;&lt;type&gt;700&lt;/type&gt;&lt;subtype&gt;700&lt;/subtype&gt;&lt;publisher&gt;mimeo&lt;/publisher&gt;&lt;authors&gt;&lt;author&gt;&lt;firstName&gt;Timothy&lt;/firstName&gt;&lt;lastName&gt;Cogley&lt;/lastName&gt;&lt;/author&gt;&lt;author&gt;&lt;firstName&gt;Thomas&lt;/firstName&gt;&lt;middleNames&gt;J&lt;/middleNames&gt;&lt;lastName&gt;Sargent&lt;/lastName&gt;&lt;/author&gt;&lt;author&gt;&lt;firstName&gt;Paolo&lt;/firstName&gt;&lt;lastName&gt;Surico&lt;/lastName&gt;&lt;/author&gt;&lt;/authors&gt;&lt;/publication&gt;&lt;/publications&gt;&lt;cites&gt;&lt;/cites&gt;&lt;/citation&gt;</w:instrText>
      </w:r>
      <w:r w:rsidR="00AB6A88" w:rsidRPr="00535A4C">
        <w:rPr>
          <w:lang w:val="en-GB"/>
        </w:rPr>
        <w:fldChar w:fldCharType="separate"/>
      </w:r>
      <w:r w:rsidR="00AC48D4">
        <w:rPr>
          <w:lang w:val="en-GB"/>
        </w:rPr>
        <w:t xml:space="preserve">as in </w:t>
      </w:r>
      <w:r w:rsidR="00280E75" w:rsidRPr="00535A4C">
        <w:rPr>
          <w:lang w:val="en-GB"/>
        </w:rPr>
        <w:t>Cogley et</w:t>
      </w:r>
      <w:r w:rsidR="00AC48D4">
        <w:rPr>
          <w:lang w:val="en-GB"/>
        </w:rPr>
        <w:t xml:space="preserve"> </w:t>
      </w:r>
      <w:r w:rsidR="00280E75" w:rsidRPr="00535A4C">
        <w:rPr>
          <w:lang w:val="en-GB"/>
        </w:rPr>
        <w:t>al.</w:t>
      </w:r>
      <w:r w:rsidR="00AB6A88" w:rsidRPr="00535A4C">
        <w:rPr>
          <w:lang w:val="en-GB"/>
        </w:rPr>
        <w:t xml:space="preserve"> </w:t>
      </w:r>
      <w:r w:rsidR="00AC48D4">
        <w:rPr>
          <w:lang w:val="en-GB"/>
        </w:rPr>
        <w:t>(</w:t>
      </w:r>
      <w:r w:rsidR="00AB6A88" w:rsidRPr="00535A4C">
        <w:rPr>
          <w:lang w:val="en-GB"/>
        </w:rPr>
        <w:t>2011)</w:t>
      </w:r>
      <w:r w:rsidR="00AB6A88" w:rsidRPr="00535A4C">
        <w:rPr>
          <w:lang w:val="en-GB"/>
        </w:rPr>
        <w:fldChar w:fldCharType="end"/>
      </w:r>
      <w:r w:rsidR="00AB6A88" w:rsidRPr="00535A4C">
        <w:rPr>
          <w:lang w:val="en-GB"/>
        </w:rPr>
        <w:t xml:space="preserve">. </w:t>
      </w:r>
      <w:r w:rsidR="00AB6A88" w:rsidRPr="00535A4C">
        <w:rPr>
          <w:lang w:val="en-GB"/>
        </w:rPr>
        <w:fldChar w:fldCharType="begin"/>
      </w:r>
      <w:r w:rsidR="00C57097" w:rsidRPr="00535A4C">
        <w:rPr>
          <w:lang w:val="en-GB"/>
        </w:rPr>
        <w:instrText xml:space="preserve"> ADDIN PAPERS2_CITATIONS &lt;citation&gt;&lt;uuid&gt;F269183C-4E32-43B4-891A-4D1E250A669C&lt;/uuid&gt;&lt;priority&gt;12&lt;/priority&gt;&lt;publications&gt;&lt;publication&gt;&lt;startpage&gt;891&lt;/startpage&gt;&lt;title&gt;The Gibson paradox and historical movements in real interest rates&lt;/title&gt;&lt;uuid&gt;2F584BF4-3B5B-49F9-B22E-1FBC3E88BD13&lt;/uuid&gt;&lt;subtype&gt;400&lt;/subtype&gt;&lt;publisher&gt;JSTOR&lt;/publisher&gt;&lt;type&gt;400&lt;/type&gt;&lt;endpage&gt;907&lt;/endpage&gt;&lt;publication_date&gt;99197700001200000000200000&lt;/publication_date&gt;&lt;bundle&gt;&lt;publication&gt;&lt;publisher&gt;JSTOR&lt;/publisher&gt;&lt;title&gt;The Journal of Political Economy&lt;/title&gt;&lt;type&gt;-100&lt;/type&gt;&lt;subtype&gt;-100&lt;/subtype&gt;&lt;uuid&gt;0E160A48-6D6D-496A-AEB5-A5A83F3E3455&lt;/uuid&gt;&lt;/publication&gt;&lt;/bundle&gt;&lt;authors&gt;&lt;author&gt;&lt;firstName&gt;Robert&lt;/firstName&gt;&lt;middleNames&gt;J&lt;/middleNames&gt;&lt;lastName&gt;Shiller&lt;/lastName&gt;&lt;/author&gt;&lt;author&gt;&lt;firstName&gt;Jeremy&lt;/firstName&gt;&lt;middleNames&gt;J&lt;/middleNames&gt;&lt;lastName&gt;Siegel&lt;/lastName&gt;&lt;/author&gt;&lt;/authors&gt;&lt;/publication&gt;&lt;/publications&gt;&lt;cites&gt;&lt;/cites&gt;&lt;/citation&gt;</w:instrText>
      </w:r>
      <w:r w:rsidR="00AB6A88" w:rsidRPr="00535A4C">
        <w:rPr>
          <w:lang w:val="en-GB"/>
        </w:rPr>
        <w:fldChar w:fldCharType="separate"/>
      </w:r>
      <w:r w:rsidR="00280E75" w:rsidRPr="00535A4C">
        <w:rPr>
          <w:lang w:val="en-GB"/>
        </w:rPr>
        <w:t>Shiller and</w:t>
      </w:r>
      <w:r w:rsidR="00A92CB8" w:rsidRPr="00535A4C">
        <w:rPr>
          <w:lang w:val="en-GB"/>
        </w:rPr>
        <w:t xml:space="preserve"> Siegel</w:t>
      </w:r>
      <w:r w:rsidR="00AB6A88" w:rsidRPr="00535A4C">
        <w:rPr>
          <w:lang w:val="en-GB"/>
        </w:rPr>
        <w:t xml:space="preserve"> </w:t>
      </w:r>
      <w:r w:rsidR="00A92CB8" w:rsidRPr="00535A4C">
        <w:rPr>
          <w:lang w:val="en-GB"/>
        </w:rPr>
        <w:t>(</w:t>
      </w:r>
      <w:r w:rsidR="00AB6A88" w:rsidRPr="00535A4C">
        <w:rPr>
          <w:lang w:val="en-GB"/>
        </w:rPr>
        <w:t>1977)</w:t>
      </w:r>
      <w:r w:rsidR="00AB6A88" w:rsidRPr="00535A4C">
        <w:rPr>
          <w:lang w:val="en-GB"/>
        </w:rPr>
        <w:fldChar w:fldCharType="end"/>
      </w:r>
      <w:r w:rsidR="008228DC">
        <w:rPr>
          <w:lang w:val="en-GB"/>
        </w:rPr>
        <w:t xml:space="preserve"> </w:t>
      </w:r>
      <w:r w:rsidR="00121661">
        <w:rPr>
          <w:lang w:val="en-GB"/>
        </w:rPr>
        <w:t xml:space="preserve">investigate </w:t>
      </w:r>
      <w:r w:rsidR="008228DC">
        <w:rPr>
          <w:lang w:val="en-GB"/>
        </w:rPr>
        <w:t xml:space="preserve">the relationship between </w:t>
      </w:r>
      <w:r w:rsidR="00AB6A88" w:rsidRPr="00535A4C">
        <w:rPr>
          <w:lang w:val="en-GB"/>
        </w:rPr>
        <w:t xml:space="preserve">long-term nominal </w:t>
      </w:r>
      <w:r w:rsidR="008228DC">
        <w:rPr>
          <w:lang w:val="en-GB"/>
        </w:rPr>
        <w:t>and real interest rate fluctuations</w:t>
      </w:r>
      <w:r w:rsidR="00AB6A88" w:rsidRPr="00535A4C">
        <w:rPr>
          <w:lang w:val="en-GB"/>
        </w:rPr>
        <w:t xml:space="preserve">. </w:t>
      </w:r>
    </w:p>
    <w:p w14:paraId="021F1F0E" w14:textId="77777777" w:rsidR="00AB6A88" w:rsidRPr="00C84D63" w:rsidRDefault="005119E1" w:rsidP="005119E1">
      <w:pPr>
        <w:pStyle w:val="BodyText"/>
        <w:ind w:firstLine="0"/>
        <w:jc w:val="both"/>
        <w:rPr>
          <w:lang w:val="en-GB"/>
        </w:rPr>
      </w:pPr>
      <w:r>
        <w:rPr>
          <w:lang w:val="en-GB"/>
        </w:rPr>
        <w:tab/>
      </w:r>
      <w:r w:rsidR="008228DC">
        <w:rPr>
          <w:lang w:val="en-GB"/>
        </w:rPr>
        <w:t xml:space="preserve">The present study analyses Gibson’s paradox </w:t>
      </w:r>
      <w:r>
        <w:rPr>
          <w:lang w:val="en-GB"/>
        </w:rPr>
        <w:t>in the case of the Netherlands. I</w:t>
      </w:r>
      <w:r w:rsidRPr="005119E1">
        <w:rPr>
          <w:lang w:val="en-GB"/>
        </w:rPr>
        <w:t xml:space="preserve">n contrast to earlier contributions, such as Fields </w:t>
      </w:r>
      <w:r w:rsidR="00AC48D4">
        <w:rPr>
          <w:lang w:val="en-GB"/>
        </w:rPr>
        <w:t>(</w:t>
      </w:r>
      <w:r w:rsidRPr="005119E1">
        <w:rPr>
          <w:lang w:val="en-GB"/>
        </w:rPr>
        <w:t xml:space="preserve">1984) and </w:t>
      </w:r>
      <w:proofErr w:type="spellStart"/>
      <w:r w:rsidRPr="005119E1">
        <w:rPr>
          <w:lang w:val="en-GB"/>
        </w:rPr>
        <w:t>Fase</w:t>
      </w:r>
      <w:proofErr w:type="spellEnd"/>
      <w:r w:rsidRPr="005119E1">
        <w:rPr>
          <w:lang w:val="en-GB"/>
        </w:rPr>
        <w:t xml:space="preserve"> </w:t>
      </w:r>
      <w:r w:rsidR="00AC48D4">
        <w:rPr>
          <w:lang w:val="en-GB"/>
        </w:rPr>
        <w:t>(</w:t>
      </w:r>
      <w:r w:rsidRPr="005119E1">
        <w:rPr>
          <w:lang w:val="en-GB"/>
        </w:rPr>
        <w:t xml:space="preserve">1972), </w:t>
      </w:r>
      <w:r>
        <w:rPr>
          <w:lang w:val="en-GB"/>
        </w:rPr>
        <w:t xml:space="preserve">it uses a </w:t>
      </w:r>
      <w:r w:rsidR="008228DC">
        <w:rPr>
          <w:lang w:val="en-GB"/>
        </w:rPr>
        <w:t xml:space="preserve">long span of data for the period 1800-2012, </w:t>
      </w:r>
      <w:r>
        <w:rPr>
          <w:lang w:val="en-GB"/>
        </w:rPr>
        <w:t xml:space="preserve">and adopts a very </w:t>
      </w:r>
      <w:r w:rsidR="00284C8F">
        <w:rPr>
          <w:lang w:val="en-GB"/>
        </w:rPr>
        <w:t>general non</w:t>
      </w:r>
      <w:r w:rsidR="008228DC">
        <w:rPr>
          <w:lang w:val="en-GB"/>
        </w:rPr>
        <w:t xml:space="preserve">linear </w:t>
      </w:r>
      <w:r w:rsidR="008228DC" w:rsidRPr="00C84D63">
        <w:rPr>
          <w:lang w:val="en-GB"/>
        </w:rPr>
        <w:t>frame</w:t>
      </w:r>
      <w:r w:rsidRPr="00C84D63">
        <w:rPr>
          <w:lang w:val="en-GB"/>
        </w:rPr>
        <w:t>work</w:t>
      </w:r>
      <w:r w:rsidR="00284C8F" w:rsidRPr="00C84D63">
        <w:rPr>
          <w:lang w:val="en-GB"/>
        </w:rPr>
        <w:t xml:space="preserve"> based on spectral analysis as well as considering </w:t>
      </w:r>
      <w:r w:rsidR="00AB6A88" w:rsidRPr="00C84D63">
        <w:rPr>
          <w:lang w:val="en-GB"/>
        </w:rPr>
        <w:t xml:space="preserve">73 potential explanatory </w:t>
      </w:r>
      <w:r w:rsidRPr="00C84D63">
        <w:rPr>
          <w:lang w:val="en-GB"/>
        </w:rPr>
        <w:t xml:space="preserve">variables. </w:t>
      </w:r>
      <w:r w:rsidR="00F236F4" w:rsidRPr="00C84D63">
        <w:rPr>
          <w:lang w:val="en-GB"/>
        </w:rPr>
        <w:t xml:space="preserve">Singular Spectrum Analysis and related models have been used in this study </w:t>
      </w:r>
      <w:r w:rsidR="00C84D63" w:rsidRPr="00C84D63">
        <w:rPr>
          <w:lang w:val="en-GB"/>
        </w:rPr>
        <w:t>in order to address possible non-</w:t>
      </w:r>
      <w:proofErr w:type="spellStart"/>
      <w:r w:rsidR="00F236F4" w:rsidRPr="00C84D63">
        <w:rPr>
          <w:lang w:val="en-GB"/>
        </w:rPr>
        <w:t>stationarity</w:t>
      </w:r>
      <w:proofErr w:type="spellEnd"/>
      <w:r w:rsidR="00F236F4" w:rsidRPr="00C84D63">
        <w:rPr>
          <w:lang w:val="en-GB"/>
        </w:rPr>
        <w:t xml:space="preserve"> and structural breaks issues </w:t>
      </w:r>
      <w:r w:rsidR="00C84D63" w:rsidRPr="00C84D63">
        <w:rPr>
          <w:lang w:val="en-GB"/>
        </w:rPr>
        <w:t xml:space="preserve">in this context. </w:t>
      </w:r>
      <w:r w:rsidR="00F236F4" w:rsidRPr="00C84D63">
        <w:rPr>
          <w:lang w:val="en-GB"/>
        </w:rPr>
        <w:t xml:space="preserve"> </w:t>
      </w:r>
    </w:p>
    <w:p w14:paraId="7EF71015" w14:textId="77777777" w:rsidR="00AB6A88" w:rsidRDefault="00AB6A88" w:rsidP="007B26A3">
      <w:pPr>
        <w:pStyle w:val="BodyText"/>
        <w:jc w:val="both"/>
        <w:rPr>
          <w:lang w:val="en-GB"/>
        </w:rPr>
      </w:pPr>
      <w:r w:rsidRPr="00535A4C">
        <w:rPr>
          <w:lang w:val="en-GB"/>
        </w:rPr>
        <w:t xml:space="preserve">The rest of the </w:t>
      </w:r>
      <w:r w:rsidR="005119E1">
        <w:rPr>
          <w:lang w:val="en-GB"/>
        </w:rPr>
        <w:t xml:space="preserve">paper is structured as follows. Section </w:t>
      </w:r>
      <w:r w:rsidR="00DD24A9">
        <w:rPr>
          <w:lang w:val="en-GB"/>
        </w:rPr>
        <w:t>2</w:t>
      </w:r>
      <w:r w:rsidR="00121661">
        <w:rPr>
          <w:lang w:val="en-GB"/>
        </w:rPr>
        <w:t xml:space="preserve"> presents the data and outline</w:t>
      </w:r>
      <w:r w:rsidR="00DD24A9">
        <w:rPr>
          <w:lang w:val="en-GB"/>
        </w:rPr>
        <w:t>s the methodology. Section 3</w:t>
      </w:r>
      <w:r w:rsidR="005119E1">
        <w:rPr>
          <w:lang w:val="en-GB"/>
        </w:rPr>
        <w:t xml:space="preserve"> discusses t</w:t>
      </w:r>
      <w:r w:rsidR="00DD24A9">
        <w:rPr>
          <w:lang w:val="en-GB"/>
        </w:rPr>
        <w:t>he empirical findings. Section 4</w:t>
      </w:r>
      <w:r w:rsidR="005119E1">
        <w:rPr>
          <w:lang w:val="en-GB"/>
        </w:rPr>
        <w:t xml:space="preserve"> provides some concluding remarks. </w:t>
      </w:r>
    </w:p>
    <w:p w14:paraId="6730F814" w14:textId="77777777" w:rsidR="00E21510" w:rsidRPr="00E21510" w:rsidRDefault="00DD24A9" w:rsidP="00E63073">
      <w:pPr>
        <w:pStyle w:val="Heading1"/>
        <w:jc w:val="both"/>
      </w:pPr>
      <w:r>
        <w:lastRenderedPageBreak/>
        <w:t>2</w:t>
      </w:r>
      <w:r w:rsidR="00280E75" w:rsidRPr="00535A4C">
        <w:t xml:space="preserve">. DATA AND METHODOLOGY </w:t>
      </w:r>
    </w:p>
    <w:p w14:paraId="5CAA112C" w14:textId="77777777" w:rsidR="00AB6A88" w:rsidRPr="00DD24A9" w:rsidRDefault="00DD24A9" w:rsidP="00AC48D4">
      <w:pPr>
        <w:pStyle w:val="Heading2"/>
      </w:pPr>
      <w:r w:rsidRPr="00DD24A9">
        <w:t>2.1 Data sources and description</w:t>
      </w:r>
      <w:r w:rsidR="00280E75" w:rsidRPr="00DD24A9">
        <w:t xml:space="preserve"> </w:t>
      </w:r>
    </w:p>
    <w:p w14:paraId="0361B322" w14:textId="77777777" w:rsidR="00C57097" w:rsidRPr="00535A4C" w:rsidRDefault="00DD24A9" w:rsidP="00E8204B">
      <w:pPr>
        <w:pStyle w:val="BodyText"/>
        <w:jc w:val="both"/>
        <w:rPr>
          <w:lang w:val="en-GB"/>
        </w:rPr>
      </w:pPr>
      <w:r>
        <w:rPr>
          <w:lang w:val="en-GB"/>
        </w:rPr>
        <w:t>T</w:t>
      </w:r>
      <w:r w:rsidR="00AB6A88" w:rsidRPr="00535A4C">
        <w:rPr>
          <w:lang w:val="en-GB"/>
        </w:rPr>
        <w:t>his study</w:t>
      </w:r>
      <w:r>
        <w:rPr>
          <w:lang w:val="en-GB"/>
        </w:rPr>
        <w:t xml:space="preserve"> uses a data set </w:t>
      </w:r>
      <w:r w:rsidR="00E21510">
        <w:rPr>
          <w:lang w:val="en-GB"/>
        </w:rPr>
        <w:t xml:space="preserve">including </w:t>
      </w:r>
      <w:r w:rsidR="00AB6A88" w:rsidRPr="00535A4C">
        <w:rPr>
          <w:lang w:val="en-GB"/>
        </w:rPr>
        <w:t>73 variables that could po</w:t>
      </w:r>
      <w:r w:rsidR="00E21510">
        <w:rPr>
          <w:lang w:val="en-GB"/>
        </w:rPr>
        <w:t>tentially be relevant to explaining G</w:t>
      </w:r>
      <w:r w:rsidR="00AB6A88" w:rsidRPr="00535A4C">
        <w:rPr>
          <w:lang w:val="en-GB"/>
        </w:rPr>
        <w:t>ibson</w:t>
      </w:r>
      <w:r w:rsidR="00E21510">
        <w:rPr>
          <w:lang w:val="en-GB"/>
        </w:rPr>
        <w:t>’s paradox in t</w:t>
      </w:r>
      <w:r w:rsidR="00AB6A88" w:rsidRPr="00535A4C">
        <w:rPr>
          <w:lang w:val="en-GB"/>
        </w:rPr>
        <w:t>he Netherlands</w:t>
      </w:r>
      <w:r w:rsidR="00E21510">
        <w:rPr>
          <w:lang w:val="en-GB"/>
        </w:rPr>
        <w:t xml:space="preserve"> over the period 1800-2012. The series </w:t>
      </w:r>
      <w:r w:rsidR="00AB6A88" w:rsidRPr="00535A4C">
        <w:rPr>
          <w:lang w:val="en-GB"/>
        </w:rPr>
        <w:t xml:space="preserve">have been </w:t>
      </w:r>
      <w:r w:rsidR="000224E0" w:rsidRPr="00535A4C">
        <w:rPr>
          <w:lang w:val="en-GB"/>
        </w:rPr>
        <w:t>obtain</w:t>
      </w:r>
      <w:r w:rsidR="00AB6A88" w:rsidRPr="00535A4C">
        <w:rPr>
          <w:lang w:val="en-GB"/>
        </w:rPr>
        <w:t xml:space="preserve">ed from following sources: </w:t>
      </w:r>
      <w:r w:rsidR="00AB6A88" w:rsidRPr="00535A4C">
        <w:rPr>
          <w:lang w:val="en-GB"/>
        </w:rPr>
        <w:fldChar w:fldCharType="begin"/>
      </w:r>
      <w:r w:rsidR="00C57097" w:rsidRPr="00535A4C">
        <w:rPr>
          <w:lang w:val="en-GB"/>
        </w:rPr>
        <w:instrText xml:space="preserve"> ADDIN PAPERS2_CITATIONS &lt;citation&gt;&lt;uuid&gt;3D0000EC-9F46-48B8-8262-B1E61C08B289&lt;/uuid&gt;&lt;priority&gt;15&lt;/priority&gt;&lt;publications&gt;&lt;publication&gt;&lt;uuid&gt;E510399E-4374-4EE0-9870-24978B16B204&lt;/uuid&gt;&lt;publication_date&gt;99200000001200000000200000&lt;/publication_date&gt;&lt;title&gt;Nederland 1780-1914. Staat, instituties en economische ontwikkeling&lt;/title&gt;&lt;type&gt;400&lt;/type&gt;&lt;subtype&gt;400&lt;/subtype&gt;&lt;publisher&gt;Balans&lt;/publisher&gt;&lt;authors&gt;&lt;author&gt;&lt;firstName&gt;van&lt;/firstName&gt;&lt;middleNames&gt;JL&lt;/middleNames&gt;&lt;lastName&gt;Zanden&lt;/lastName&gt;&lt;/author&gt;&lt;author&gt;&lt;firstName&gt;A&lt;/firstName&gt;&lt;middleNames&gt;van&lt;/middleNames&gt;&lt;lastName&gt;Riel&lt;/lastName&gt;&lt;/author&gt;&lt;/authors&gt;&lt;/publication&gt;&lt;/publications&gt;&lt;cites&gt;&lt;/cites&gt;&lt;/citation&gt;</w:instrText>
      </w:r>
      <w:r w:rsidR="00AB6A88" w:rsidRPr="00535A4C">
        <w:rPr>
          <w:lang w:val="en-GB"/>
        </w:rPr>
        <w:fldChar w:fldCharType="separate"/>
      </w:r>
      <w:r w:rsidR="00280E75" w:rsidRPr="00535A4C">
        <w:rPr>
          <w:lang w:val="en-GB"/>
        </w:rPr>
        <w:t>Zanden and</w:t>
      </w:r>
      <w:r w:rsidR="00AB6A88" w:rsidRPr="00535A4C">
        <w:rPr>
          <w:lang w:val="en-GB"/>
        </w:rPr>
        <w:t xml:space="preserve"> Riel </w:t>
      </w:r>
      <w:r w:rsidR="00AC48D4">
        <w:rPr>
          <w:lang w:val="en-GB"/>
        </w:rPr>
        <w:t>(</w:t>
      </w:r>
      <w:r w:rsidR="00AB6A88" w:rsidRPr="00535A4C">
        <w:rPr>
          <w:lang w:val="en-GB"/>
        </w:rPr>
        <w:t>2000)</w:t>
      </w:r>
      <w:r w:rsidR="00AB6A88" w:rsidRPr="00535A4C">
        <w:rPr>
          <w:lang w:val="en-GB"/>
        </w:rPr>
        <w:fldChar w:fldCharType="end"/>
      </w:r>
      <w:r w:rsidR="00AB6A88" w:rsidRPr="00535A4C">
        <w:rPr>
          <w:lang w:val="en-GB"/>
        </w:rPr>
        <w:t xml:space="preserve">, </w:t>
      </w:r>
      <w:r w:rsidR="00AB6A88" w:rsidRPr="00535A4C">
        <w:rPr>
          <w:lang w:val="en-GB"/>
        </w:rPr>
        <w:fldChar w:fldCharType="begin"/>
      </w:r>
      <w:r w:rsidR="00C57097" w:rsidRPr="00535A4C">
        <w:rPr>
          <w:lang w:val="en-GB"/>
        </w:rPr>
        <w:instrText xml:space="preserve"> ADDIN PAPERS2_CITATIONS &lt;citation&gt;&lt;uuid&gt;99C4A199-38A1-4B99-BA17-048AC6BC2516&lt;/uuid&gt;&lt;priority&gt;16&lt;/priority&gt;&lt;publications&gt;&lt;publication&gt;&lt;volume&gt;52&lt;/volume&gt;&lt;startpage&gt;231&lt;/startpage&gt;&lt;title&gt;De buitenlandse handel van Nederland, 1872-1913&lt;/title&gt;&lt;uuid&gt;C0C4ADAF-5CD9-4624-9114-73E1CF6A31E0&lt;/uuid&gt;&lt;subtype&gt;400&lt;/subtype&gt;&lt;endpage&gt;269&lt;/endpage&gt;&lt;type&gt;400&lt;/type&gt;&lt;publication_date&gt;99198900001200000000200000&lt;/publication_date&gt;&lt;bundle&gt;&lt;publication&gt;&lt;title&gt;Economisch-en sociaal-historisch jaarboek&lt;/title&gt;&lt;type&gt;-100&lt;/type&gt;&lt;subtype&gt;-100&lt;/subtype&gt;&lt;uuid&gt;2A2097B9-A402-4E2D-9D25-EB724278F443&lt;/uuid&gt;&lt;/publication&gt;&lt;/bundle&gt;&lt;authors&gt;&lt;author&gt;&lt;firstName&gt;van&lt;/firstName&gt;&lt;middleNames&gt;JL&lt;/middleNames&gt;&lt;lastName&gt;Zanden&lt;/lastName&gt;&lt;/author&gt;&lt;author&gt;&lt;firstName&gt;J&lt;/firstName&gt;&lt;middleNames&gt;Th&lt;/middleNames&gt;&lt;lastName&gt;Lindblad&lt;/lastName&gt;&lt;/author&gt;&lt;/authors&gt;&lt;/publication&gt;&lt;/publications&gt;&lt;cites&gt;&lt;/cites&gt;&lt;/citation&gt;</w:instrText>
      </w:r>
      <w:r w:rsidR="00AB6A88" w:rsidRPr="00535A4C">
        <w:rPr>
          <w:lang w:val="en-GB"/>
        </w:rPr>
        <w:fldChar w:fldCharType="separate"/>
      </w:r>
      <w:r w:rsidR="00280E75" w:rsidRPr="00535A4C">
        <w:rPr>
          <w:lang w:val="en-GB"/>
        </w:rPr>
        <w:t>Zanden and</w:t>
      </w:r>
      <w:r w:rsidR="00AB6A88" w:rsidRPr="00535A4C">
        <w:rPr>
          <w:lang w:val="en-GB"/>
        </w:rPr>
        <w:t xml:space="preserve"> Lindblad </w:t>
      </w:r>
      <w:r w:rsidR="00AC48D4">
        <w:rPr>
          <w:lang w:val="en-GB"/>
        </w:rPr>
        <w:t>(</w:t>
      </w:r>
      <w:r w:rsidR="00AB6A88" w:rsidRPr="00535A4C">
        <w:rPr>
          <w:lang w:val="en-GB"/>
        </w:rPr>
        <w:t>1989)</w:t>
      </w:r>
      <w:r w:rsidR="00AB6A88" w:rsidRPr="00535A4C">
        <w:rPr>
          <w:lang w:val="en-GB"/>
        </w:rPr>
        <w:fldChar w:fldCharType="end"/>
      </w:r>
      <w:r w:rsidR="00AB6A88" w:rsidRPr="00535A4C">
        <w:rPr>
          <w:lang w:val="en-GB"/>
        </w:rPr>
        <w:t xml:space="preserve">, </w:t>
      </w:r>
      <w:r w:rsidR="00AB6A88" w:rsidRPr="00535A4C">
        <w:rPr>
          <w:lang w:val="en-GB"/>
        </w:rPr>
        <w:fldChar w:fldCharType="begin"/>
      </w:r>
      <w:r w:rsidR="00C57097" w:rsidRPr="00535A4C">
        <w:rPr>
          <w:lang w:val="en-GB"/>
        </w:rPr>
        <w:instrText xml:space="preserve"> ADDIN PAPERS2_CITATIONS &lt;citation&gt;&lt;uuid&gt;4BF42FC7-D8F5-4E7D-B5C1-85BD41F7B0B3&lt;/uuid&gt;&lt;priority&gt;17&lt;/priority&gt;&lt;publications&gt;&lt;publication&gt;&lt;uuid&gt;DCC190AA-9F4F-431E-9B4C-60515620611A&lt;/uuid&gt;&lt;publication_date&gt;99200000001200000000200000&lt;/publication_date&gt;&lt;title&gt;Dutch GNP and its components, 1800-1913&lt;/title&gt;&lt;type&gt;0&lt;/type&gt;&lt;subtype&gt;0&lt;/subtype&gt;&lt;publisher&gt;Groningen Growth and Development Centre&lt;/publisher&gt;&lt;authors&gt;&lt;author&gt;&lt;firstName&gt;Jan-Pieter&lt;/firstName&gt;&lt;lastName&gt;Smits&lt;/lastName&gt;&lt;/author&gt;&lt;author&gt;&lt;firstName&gt;Jan-Pieter&lt;/firstName&gt;&lt;lastName&gt;Smits&lt;/lastName&gt;&lt;/author&gt;&lt;author&gt;&lt;firstName&gt;Edwin&lt;/firstName&gt;&lt;lastName&gt;Horlings&lt;/lastName&gt;&lt;/author&gt;&lt;author&gt;&lt;firstName&gt;Edwin&lt;/firstName&gt;&lt;lastName&gt;Horlings&lt;/lastName&gt;&lt;/author&gt;&lt;author&gt;&lt;lastName&gt;Zanden&lt;/lastName&gt;&lt;nonDroppingParticle&gt;Van&lt;/nonDroppingParticle&gt;&lt;firstName&gt;Jan&lt;/firstName&gt;&lt;middleNames&gt;Luiten&lt;/middleNames&gt;&lt;/author&gt;&lt;author&gt;&lt;lastName&gt;Zanden&lt;/lastName&gt;&lt;nonDroppingParticle&gt;Van&lt;/nonDroppingParticle&gt;&lt;firstName&gt;Jan&lt;/firstName&gt;&lt;middleNames&gt;Luiten&lt;/middleNames&gt;&lt;/author&gt;&lt;/authors&gt;&lt;/publication&gt;&lt;/publications&gt;&lt;cites&gt;&lt;/cites&gt;&lt;/citation&gt;</w:instrText>
      </w:r>
      <w:r w:rsidR="00AB6A88" w:rsidRPr="00535A4C">
        <w:rPr>
          <w:lang w:val="en-GB"/>
        </w:rPr>
        <w:fldChar w:fldCharType="separate"/>
      </w:r>
      <w:r w:rsidR="00AB6A88" w:rsidRPr="00535A4C">
        <w:rPr>
          <w:lang w:val="en-GB"/>
        </w:rPr>
        <w:t xml:space="preserve">Smits et al. </w:t>
      </w:r>
      <w:r w:rsidR="00AC48D4">
        <w:rPr>
          <w:lang w:val="en-GB"/>
        </w:rPr>
        <w:t>(</w:t>
      </w:r>
      <w:r w:rsidR="00AB6A88" w:rsidRPr="00535A4C">
        <w:rPr>
          <w:lang w:val="en-GB"/>
        </w:rPr>
        <w:t>2000)</w:t>
      </w:r>
      <w:r w:rsidR="00AB6A88" w:rsidRPr="00535A4C">
        <w:rPr>
          <w:lang w:val="en-GB"/>
        </w:rPr>
        <w:fldChar w:fldCharType="end"/>
      </w:r>
      <w:r w:rsidR="00AB6A88" w:rsidRPr="00535A4C">
        <w:rPr>
          <w:lang w:val="en-GB"/>
        </w:rPr>
        <w:t xml:space="preserve">, </w:t>
      </w:r>
      <w:r w:rsidR="00AB6A88" w:rsidRPr="00535A4C">
        <w:rPr>
          <w:lang w:val="en-GB"/>
        </w:rPr>
        <w:fldChar w:fldCharType="begin"/>
      </w:r>
      <w:r w:rsidR="00C57097" w:rsidRPr="00535A4C">
        <w:rPr>
          <w:lang w:val="en-GB"/>
        </w:rPr>
        <w:instrText xml:space="preserve"> ADDIN PAPERS2_CITATIONS &lt;citation&gt;&lt;uuid&gt;400599B4-DFD7-48C7-A5B8-3800A1931055&lt;/uuid&gt;&lt;priority&gt;18&lt;/priority&gt;&lt;publications&gt;&lt;publication&gt;&lt;publication_date&gt;99201000001200000000200000&lt;/publication_date&gt;&lt;title&gt;A Financial History of the Netherlands&lt;/title&gt;&lt;uuid&gt;64092331-CC33-4957-8F77-22348C4B2B52&lt;/uuid&gt;&lt;subtype&gt;0&lt;/subtype&gt;&lt;publisher&gt;Cambridge University Press&lt;/publisher&gt;&lt;type&gt;0&lt;/type&gt;&lt;url&gt;http://books.google.hr/books?id=QXfdQwAACAAJ&lt;/url&gt;&lt;authors&gt;&lt;author&gt;&lt;firstName&gt;M&lt;/firstName&gt;&lt;lastName&gt;Hart&lt;/lastName&gt;&lt;/author&gt;&lt;author&gt;&lt;firstName&gt;J&lt;/firstName&gt;&lt;lastName&gt;Jonker&lt;/lastName&gt;&lt;/author&gt;&lt;author&gt;&lt;lastName&gt;Zanden&lt;/lastName&gt;&lt;nonDroppingParticle&gt;van&lt;/nonDroppingParticle&gt;&lt;firstName&gt;J&lt;/firstName&gt;&lt;middleNames&gt;L&lt;/middleNames&gt;&lt;/author&gt;&lt;/authors&gt;&lt;/publication&gt;&lt;/publications&gt;&lt;cites&gt;&lt;/cites&gt;&lt;/citation&gt;</w:instrText>
      </w:r>
      <w:r w:rsidR="00AB6A88" w:rsidRPr="00535A4C">
        <w:rPr>
          <w:lang w:val="en-GB"/>
        </w:rPr>
        <w:fldChar w:fldCharType="separate"/>
      </w:r>
      <w:r w:rsidR="00280E75" w:rsidRPr="00535A4C">
        <w:rPr>
          <w:lang w:val="en-GB"/>
        </w:rPr>
        <w:t>Hart et</w:t>
      </w:r>
      <w:r w:rsidR="00AC48D4">
        <w:rPr>
          <w:lang w:val="en-GB"/>
        </w:rPr>
        <w:t xml:space="preserve"> </w:t>
      </w:r>
      <w:r w:rsidR="00280E75" w:rsidRPr="00535A4C">
        <w:rPr>
          <w:lang w:val="en-GB"/>
        </w:rPr>
        <w:t>al.</w:t>
      </w:r>
      <w:r w:rsidR="00AB6A88" w:rsidRPr="00535A4C">
        <w:rPr>
          <w:lang w:val="en-GB"/>
        </w:rPr>
        <w:t xml:space="preserve"> </w:t>
      </w:r>
      <w:r w:rsidR="00AC48D4">
        <w:rPr>
          <w:lang w:val="en-GB"/>
        </w:rPr>
        <w:t>(</w:t>
      </w:r>
      <w:r w:rsidR="00AB6A88" w:rsidRPr="00535A4C">
        <w:rPr>
          <w:lang w:val="en-GB"/>
        </w:rPr>
        <w:t>2010)</w:t>
      </w:r>
      <w:r w:rsidR="00AB6A88" w:rsidRPr="00535A4C">
        <w:rPr>
          <w:lang w:val="en-GB"/>
        </w:rPr>
        <w:fldChar w:fldCharType="end"/>
      </w:r>
      <w:r w:rsidR="00AB6A88" w:rsidRPr="00535A4C">
        <w:rPr>
          <w:lang w:val="en-GB"/>
        </w:rPr>
        <w:t xml:space="preserve">, </w:t>
      </w:r>
      <w:r w:rsidR="00AB6A88" w:rsidRPr="00535A4C">
        <w:rPr>
          <w:lang w:val="en-GB"/>
        </w:rPr>
        <w:fldChar w:fldCharType="begin"/>
      </w:r>
      <w:r w:rsidR="00C57097" w:rsidRPr="00535A4C">
        <w:rPr>
          <w:lang w:val="en-GB"/>
        </w:rPr>
        <w:instrText xml:space="preserve"> ADDIN PAPERS2_CITATIONS &lt;citation&gt;&lt;uuid&gt;41F2F2C5-3BC6-43AC-B527-B109C3FF88A3&lt;/uuid&gt;&lt;priority&gt;19&lt;/priority&gt;&lt;publications&gt;&lt;publication&gt;&lt;uuid&gt;FF952E11-1F44-4E15-8C07-CC2C3EEB0C56&lt;/uuid&gt;&lt;type&gt;700&lt;/type&gt;&lt;title&gt;MAIN NATIONAL ACCOUNTING SERIES. 1900-1986</w:instrText>
      </w:r>
    </w:p>
    <w:p w14:paraId="5621D347" w14:textId="77777777" w:rsidR="00C57097" w:rsidRPr="00535A4C" w:rsidRDefault="00C57097" w:rsidP="00E8204B">
      <w:pPr>
        <w:pStyle w:val="BodyText"/>
        <w:jc w:val="both"/>
        <w:rPr>
          <w:lang w:val="en-GB"/>
        </w:rPr>
      </w:pPr>
      <w:r w:rsidRPr="00535A4C">
        <w:rPr>
          <w:lang w:val="en-GB"/>
        </w:rPr>
        <w:instrText>&lt;/title&gt;&lt;url&gt;http://www.cbs.nl/NR/rdonlyres/95E64FC2-04E3-42D2-9DCB-C749315F415C/0/1987017p30pub.pdf&lt;/url&gt;&lt;subtype&gt;700&lt;/subtype&gt;&lt;publisher&gt;Central Bureau of Statistics, The Netherlands&lt;/publisher&gt;&lt;bundle&gt;&lt;publication&gt;&lt;title&gt;cbs.nl&lt;/title&gt;&lt;type&gt;-100&lt;/type&gt;&lt;subtype&gt;-100&lt;/subtype&gt;&lt;uuid&gt;6CAD6088-2DBF-4935-927D-7EA2DF2DA8BC&lt;/uuid&gt;&lt;/publication&gt;&lt;/bundle&gt;&lt;authors&gt;&lt;author&gt;&lt;lastName&gt;Bochove&lt;/lastName&gt;&lt;nonDroppingParticle&gt;van&lt;/nonDroppingParticle&gt;&lt;firstName&gt;Cornelis&lt;/firstName&gt;&lt;middleNames&gt;A&lt;/middleNames&gt;&lt;/author&gt;&lt;author&gt;&lt;firstName&gt;Theo&lt;/firstName&gt;&lt;middleNames&gt;A&lt;/middleNames&gt;&lt;lastName&gt;Huitker&lt;/lastName&gt;&lt;/author&gt;&lt;/authors&gt;&lt;/publication&gt;&lt;/publications&gt;&lt;cites&gt;&lt;/cites&gt;&lt;/citation&gt;</w:instrText>
      </w:r>
      <w:r w:rsidR="00AB6A88" w:rsidRPr="00535A4C">
        <w:rPr>
          <w:lang w:val="en-GB"/>
        </w:rPr>
        <w:fldChar w:fldCharType="separate"/>
      </w:r>
      <w:r w:rsidR="00280E75" w:rsidRPr="00535A4C">
        <w:rPr>
          <w:lang w:val="en-GB"/>
        </w:rPr>
        <w:t>van Bochove and</w:t>
      </w:r>
      <w:r w:rsidR="000917AF" w:rsidRPr="00535A4C">
        <w:rPr>
          <w:lang w:val="en-GB"/>
        </w:rPr>
        <w:t xml:space="preserve"> Huitker </w:t>
      </w:r>
      <w:r w:rsidR="00AC48D4">
        <w:rPr>
          <w:lang w:val="en-GB"/>
        </w:rPr>
        <w:t>(</w:t>
      </w:r>
      <w:r w:rsidR="000917AF" w:rsidRPr="00535A4C">
        <w:rPr>
          <w:lang w:val="en-GB"/>
        </w:rPr>
        <w:t>1987</w:t>
      </w:r>
      <w:r w:rsidR="00AB6A88" w:rsidRPr="00535A4C">
        <w:rPr>
          <w:lang w:val="en-GB"/>
        </w:rPr>
        <w:t>)</w:t>
      </w:r>
      <w:r w:rsidR="00AB6A88" w:rsidRPr="00535A4C">
        <w:rPr>
          <w:lang w:val="en-GB"/>
        </w:rPr>
        <w:fldChar w:fldCharType="end"/>
      </w:r>
      <w:r w:rsidR="00AB6A88" w:rsidRPr="00535A4C">
        <w:rPr>
          <w:lang w:val="en-GB"/>
        </w:rPr>
        <w:t xml:space="preserve">, </w:t>
      </w:r>
      <w:r w:rsidR="00AB6A88" w:rsidRPr="00535A4C">
        <w:rPr>
          <w:lang w:val="en-GB"/>
        </w:rPr>
        <w:fldChar w:fldCharType="begin"/>
      </w:r>
      <w:r w:rsidRPr="00535A4C">
        <w:rPr>
          <w:lang w:val="en-GB"/>
        </w:rPr>
        <w:instrText xml:space="preserve"> ADDIN PAPERS2_CITATIONS &lt;citation&gt;&lt;uuid&gt;382D300A-D0CD-496B-B06D-08A50CA4B7D5&lt;/uuid&gt;&lt;priority&gt;20&lt;/priority&gt;&lt;publications&gt;&lt;publication&gt;&lt;location&gt;&amp;lt;html&gt;&amp;lt;head&gt;&amp;lt;meta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href="http://www.google.com/support/bin/answer.py?answer=86640"&gt;Google Help&amp;lt;/a&gt; for more information.&amp;lt;br/&gt;&amp;lt;br/&gt;&amp;lt;/div&gt;&amp;lt;div style="text-align: center; border-top: 1px solid #dfdfdf;"&gt;&amp;amp;copy; 2009 Google - &amp;lt;a href="http://www.google.com"&gt;Google Home&amp;lt;/a&gt;&amp;lt;/div&gt;&amp;lt;/body&gt;&amp;lt;/html&gt;&lt;/location&gt;&lt;title&gt;111 Jaar statistiek in tijdreeksen, 1899–2010</w:instrText>
      </w:r>
    </w:p>
    <w:p w14:paraId="6AB31FE9" w14:textId="77777777" w:rsidR="00C57097" w:rsidRPr="00535A4C" w:rsidRDefault="00C57097" w:rsidP="00E8204B">
      <w:pPr>
        <w:pStyle w:val="BodyText"/>
        <w:jc w:val="both"/>
        <w:rPr>
          <w:lang w:val="en-GB"/>
        </w:rPr>
      </w:pPr>
      <w:r w:rsidRPr="00535A4C">
        <w:rPr>
          <w:lang w:val="en-GB"/>
        </w:rPr>
        <w:instrText>&lt;/title&gt;&lt;uuid&gt;68B4D97D-F563-4F53-A2EC-48618B578742&lt;/uuid&gt;&lt;subtype&gt;700&lt;/subtype&gt;&lt;publisher&gt;Central Bureau of Statistics, The Netherlands&lt;/publisher&gt;&lt;type&gt;700&lt;/type&gt;&lt;place&gt;Roterdam&lt;/place&gt;&lt;url&gt;http://www.cbs.nl/NR/rdonlyres/76A03E00-8D45-498E-9959-9AB7F9FA2DAC/0/2010111jaartijdreeksenpdf.pdf&lt;/url&gt;&lt;bundle&gt;&lt;publication&gt;&lt;title&gt;cbs.nl&lt;/title&gt;&lt;type&gt;-100&lt;/type&gt;&lt;subtype&gt;-100&lt;/subtype&gt;&lt;uuid&gt;6CAD6088-2DBF-4935-927D-7EA2DF2DA8BC&lt;/uuid&gt;&lt;/publication&gt;&lt;/bundle&gt;&lt;authors&gt;&lt;author&gt;&lt;firstName&gt;Statistics&lt;/firstName&gt;&lt;lastName&gt;Netherland&lt;/lastName&gt;&lt;/author&gt;&lt;/authors&gt;&lt;/publication&gt;&lt;/publications&gt;&lt;cites&gt;&lt;/cites&gt;&lt;/citation&gt;</w:instrText>
      </w:r>
      <w:r w:rsidR="00AB6A88" w:rsidRPr="00535A4C">
        <w:rPr>
          <w:lang w:val="en-GB"/>
        </w:rPr>
        <w:fldChar w:fldCharType="separate"/>
      </w:r>
      <w:r w:rsidR="000917AF" w:rsidRPr="00535A4C">
        <w:rPr>
          <w:lang w:val="en-GB"/>
        </w:rPr>
        <w:t xml:space="preserve">Netherland </w:t>
      </w:r>
      <w:r w:rsidR="00AC48D4">
        <w:rPr>
          <w:lang w:val="en-GB"/>
        </w:rPr>
        <w:t>(</w:t>
      </w:r>
      <w:r w:rsidR="000917AF" w:rsidRPr="00535A4C">
        <w:rPr>
          <w:lang w:val="en-GB"/>
        </w:rPr>
        <w:t>2010</w:t>
      </w:r>
      <w:r w:rsidR="00AB6A88" w:rsidRPr="00535A4C">
        <w:rPr>
          <w:lang w:val="en-GB"/>
        </w:rPr>
        <w:t>)</w:t>
      </w:r>
      <w:r w:rsidR="00AB6A88" w:rsidRPr="00535A4C">
        <w:rPr>
          <w:lang w:val="en-GB"/>
        </w:rPr>
        <w:fldChar w:fldCharType="end"/>
      </w:r>
      <w:r w:rsidR="00AB6A88" w:rsidRPr="00535A4C">
        <w:rPr>
          <w:lang w:val="en-GB"/>
        </w:rPr>
        <w:t xml:space="preserve">, </w:t>
      </w:r>
      <w:r w:rsidR="00AB6A88" w:rsidRPr="00535A4C">
        <w:rPr>
          <w:lang w:val="en-GB"/>
        </w:rPr>
        <w:fldChar w:fldCharType="begin"/>
      </w:r>
      <w:r w:rsidRPr="00535A4C">
        <w:rPr>
          <w:lang w:val="en-GB"/>
        </w:rPr>
        <w:instrText xml:space="preserve"> ADDIN PAPERS2_CITATIONS &lt;citation&gt;&lt;uuid&gt;A319B422-0B2B-4A08-B6D9-977B4B695DE5&lt;/uuid&gt;&lt;priority&gt;21&lt;/priority&gt;&lt;publications&gt;&lt;publication&gt;&lt;location&gt;&amp;lt;html&gt;&amp;lt;head&gt;&amp;lt;meta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href="http://www.google.com/support/bin/answer.py?answer=86640"&gt;Google Help&amp;lt;/a&gt; for more information.&amp;lt;br/&gt;&amp;lt;br/&gt;&amp;lt;/div&gt;&amp;lt;div style="text-align: center; border-top: 1px solid #dfdfdf;"&gt;&amp;amp;copy; 2009 Google - &amp;lt;a href="http://www.google.com"&gt;Google Home&amp;lt;/a&gt;&amp;lt;/div&gt;&amp;lt;/body&gt;&amp;lt;/html&gt;&lt;/location&gt;&lt;title&gt;National accounts of the Netherlands 2011</w:instrText>
      </w:r>
    </w:p>
    <w:p w14:paraId="74DC14AB" w14:textId="77777777" w:rsidR="00AB6A88" w:rsidRPr="00535A4C" w:rsidRDefault="00C57097" w:rsidP="00E8204B">
      <w:pPr>
        <w:pStyle w:val="BodyText"/>
        <w:jc w:val="both"/>
        <w:rPr>
          <w:lang w:val="en-GB"/>
        </w:rPr>
      </w:pPr>
      <w:r w:rsidRPr="00535A4C">
        <w:rPr>
          <w:lang w:val="en-GB"/>
        </w:rPr>
        <w:instrText>&lt;/title&gt;&lt;uuid&gt;B1C0A5EE-3099-423E-B601-0BD429F21B85&lt;/uuid&gt;&lt;subtype&gt;700&lt;/subtype&gt;&lt;publisher&gt;Statistics Netherlands &lt;/publisher&gt;&lt;type&gt;700&lt;/type&gt;&lt;place&gt;The Hague/Heerlen&lt;/place&gt;&lt;url&gt;http://www.cbs.nl/NR/rdonlyres/2EF7FEF6-E169-4D48-A5A4-2466D39D4E7D/0/2011p22pub.pdf&lt;/url&gt;&lt;bundle&gt;&lt;publication&gt;&lt;title&gt;cbs.nl&lt;/title&gt;&lt;type&gt;-100&lt;/type&gt;&lt;subtype&gt;-100&lt;/subtype&gt;&lt;uuid&gt;6CAD6088-2DBF-4935-927D-7EA2DF2DA8BC&lt;/uuid&gt;&lt;/publication&gt;&lt;/bundle&gt;&lt;authors&gt;&lt;author&gt;&lt;firstName&gt;Statistics&lt;/firstName&gt;&lt;lastName&gt;Netherland&lt;/lastName&gt;&lt;/author&gt;&lt;/authors&gt;&lt;/publication&gt;&lt;/publications&gt;&lt;cites&gt;&lt;/cites&gt;&lt;/citation&gt;</w:instrText>
      </w:r>
      <w:r w:rsidR="00AB6A88" w:rsidRPr="00535A4C">
        <w:rPr>
          <w:lang w:val="en-GB"/>
        </w:rPr>
        <w:fldChar w:fldCharType="separate"/>
      </w:r>
      <w:r w:rsidR="000917AF" w:rsidRPr="00535A4C">
        <w:rPr>
          <w:lang w:val="en-GB"/>
        </w:rPr>
        <w:t>(Netherland, 2012</w:t>
      </w:r>
      <w:r w:rsidR="00AB6A88" w:rsidRPr="00535A4C">
        <w:rPr>
          <w:lang w:val="en-GB"/>
        </w:rPr>
        <w:t>)</w:t>
      </w:r>
      <w:r w:rsidR="00AB6A88" w:rsidRPr="00535A4C">
        <w:rPr>
          <w:lang w:val="en-GB"/>
        </w:rPr>
        <w:fldChar w:fldCharType="end"/>
      </w:r>
      <w:r w:rsidR="00AB6A88" w:rsidRPr="00535A4C">
        <w:rPr>
          <w:lang w:val="en-GB"/>
        </w:rPr>
        <w:t xml:space="preserve">, </w:t>
      </w:r>
      <w:r w:rsidR="00AB6A88" w:rsidRPr="00535A4C">
        <w:rPr>
          <w:lang w:val="en-GB"/>
        </w:rPr>
        <w:fldChar w:fldCharType="begin"/>
      </w:r>
      <w:r w:rsidRPr="00535A4C">
        <w:rPr>
          <w:lang w:val="en-GB"/>
        </w:rPr>
        <w:instrText xml:space="preserve"> ADDIN PAPERS2_CITATIONS &lt;citation&gt;&lt;uuid&gt;BC514169-787A-4AF7-B664-209E24706B74&lt;/uuid&gt;&lt;priority&gt;22&lt;/priority&gt;&lt;publications&gt;&lt;publication&gt;&lt;uuid&gt;BBA027D2-1FA9-4913-A76C-24A624BCA9D2&lt;/uuid&gt;&lt;type&gt;300&lt;/type&gt;&lt;title&gt;CBS - Historical series - Publications&lt;/title&gt;&lt;url&gt;http://www.cbs.nl/en-GB/menu/themas/dossiers/historische-reeksen/publicaties/default.htm&lt;/url&gt;&lt;subtype&gt;344&lt;/subtype&gt;&lt;publisher&gt;Statistics Netherlands &lt;/publisher&gt;&lt;bundle&gt;&lt;publication&gt;&lt;title&gt;cbs.nl&lt;/title&gt;&lt;type&gt;-200&lt;/type&gt;&lt;subtype&gt;-200&lt;/subtype&gt;&lt;uuid&gt;EF6E047C-62B4-47C5-AF1F-1A28A4985B38&lt;/uuid&gt;&lt;/publication&gt;&lt;/bundle&gt;&lt;/publication&gt;&lt;/publications&gt;&lt;cites&gt;&lt;/cites&gt;&lt;/citation&gt;</w:instrText>
      </w:r>
      <w:r w:rsidR="00AB6A88" w:rsidRPr="00535A4C">
        <w:rPr>
          <w:lang w:val="en-GB"/>
        </w:rPr>
        <w:fldChar w:fldCharType="separate"/>
      </w:r>
      <w:r w:rsidR="00AB6A88" w:rsidRPr="00535A4C">
        <w:rPr>
          <w:lang w:val="en-GB"/>
        </w:rPr>
        <w:t>CBS - Histori</w:t>
      </w:r>
      <w:r w:rsidR="000917AF" w:rsidRPr="00535A4C">
        <w:rPr>
          <w:lang w:val="en-GB"/>
        </w:rPr>
        <w:t xml:space="preserve">cal series - Publications </w:t>
      </w:r>
      <w:r w:rsidR="00AC48D4">
        <w:rPr>
          <w:lang w:val="en-GB"/>
        </w:rPr>
        <w:t>(</w:t>
      </w:r>
      <w:r w:rsidR="000917AF" w:rsidRPr="00535A4C">
        <w:rPr>
          <w:lang w:val="en-GB"/>
        </w:rPr>
        <w:t>2013</w:t>
      </w:r>
      <w:r w:rsidR="00AB6A88" w:rsidRPr="00535A4C">
        <w:rPr>
          <w:lang w:val="en-GB"/>
        </w:rPr>
        <w:t>)</w:t>
      </w:r>
      <w:r w:rsidR="00AB6A88" w:rsidRPr="00535A4C">
        <w:rPr>
          <w:lang w:val="en-GB"/>
        </w:rPr>
        <w:fldChar w:fldCharType="end"/>
      </w:r>
      <w:r w:rsidR="00AB6A88" w:rsidRPr="00535A4C">
        <w:rPr>
          <w:lang w:val="en-GB"/>
        </w:rPr>
        <w:t xml:space="preserve">, </w:t>
      </w:r>
      <w:r w:rsidR="00AB6A88" w:rsidRPr="00535A4C">
        <w:rPr>
          <w:lang w:val="en-GB"/>
        </w:rPr>
        <w:fldChar w:fldCharType="begin"/>
      </w:r>
      <w:r w:rsidRPr="00535A4C">
        <w:rPr>
          <w:lang w:val="en-GB"/>
        </w:rPr>
        <w:instrText xml:space="preserve"> ADDIN PAPERS2_CITATIONS &lt;citation&gt;&lt;uuid&gt;EB6B6588-FE5F-4383-BB06-412A08113190&lt;/uuid&gt;&lt;priority&gt;23&lt;/priority&gt;&lt;publications&gt;&lt;publication&gt;&lt;uuid&gt;EC782F0D-5815-45E2-9BC4-E3A0072FE86A&lt;/uuid&gt;&lt;type&gt;300&lt;/type&gt;&lt;title&gt;International Institute of Social History&lt;/title&gt;&lt;url&gt;http://www.iisg.nl&lt;/url&gt;&lt;subtype&gt;344&lt;/subtype&gt;&lt;publisher&gt;Royal Netherlands Academy of Arts and Sciences &lt;/publisher&gt;&lt;/publication&gt;&lt;/publications&gt;&lt;cites&gt;&lt;/cites&gt;&lt;/citation&gt;</w:instrText>
      </w:r>
      <w:r w:rsidR="00AB6A88" w:rsidRPr="00535A4C">
        <w:rPr>
          <w:lang w:val="en-GB"/>
        </w:rPr>
        <w:fldChar w:fldCharType="separate"/>
      </w:r>
      <w:r w:rsidR="00AB6A88" w:rsidRPr="00535A4C">
        <w:rPr>
          <w:lang w:val="en-GB"/>
        </w:rPr>
        <w:t>Internation</w:t>
      </w:r>
      <w:r w:rsidR="000917AF" w:rsidRPr="00535A4C">
        <w:rPr>
          <w:lang w:val="en-GB"/>
        </w:rPr>
        <w:t xml:space="preserve">al Institute of Social History </w:t>
      </w:r>
      <w:r w:rsidR="00AC48D4">
        <w:rPr>
          <w:lang w:val="en-GB"/>
        </w:rPr>
        <w:t>(</w:t>
      </w:r>
      <w:r w:rsidR="000917AF" w:rsidRPr="00535A4C">
        <w:rPr>
          <w:lang w:val="en-GB"/>
        </w:rPr>
        <w:t>2013</w:t>
      </w:r>
      <w:r w:rsidR="00AB6A88" w:rsidRPr="00535A4C">
        <w:rPr>
          <w:lang w:val="en-GB"/>
        </w:rPr>
        <w:t>)</w:t>
      </w:r>
      <w:r w:rsidR="00AB6A88" w:rsidRPr="00535A4C">
        <w:rPr>
          <w:lang w:val="en-GB"/>
        </w:rPr>
        <w:fldChar w:fldCharType="end"/>
      </w:r>
      <w:r w:rsidR="00AB6A88" w:rsidRPr="00535A4C">
        <w:rPr>
          <w:lang w:val="en-GB"/>
        </w:rPr>
        <w:t xml:space="preserve">, </w:t>
      </w:r>
      <w:r w:rsidR="00AB6A88" w:rsidRPr="00535A4C">
        <w:rPr>
          <w:lang w:val="en-GB"/>
        </w:rPr>
        <w:fldChar w:fldCharType="begin"/>
      </w:r>
      <w:r w:rsidRPr="00535A4C">
        <w:rPr>
          <w:lang w:val="en-GB"/>
        </w:rPr>
        <w:instrText xml:space="preserve"> ADDIN PAPERS2_CITATIONS &lt;citation&gt;&lt;uuid&gt;B4EE0E7D-E7E2-4D5E-9AE7-6E9E4DD059F7&lt;/uuid&gt;&lt;priority&gt;24&lt;/priority&gt;&lt;publications&gt;&lt;publication&gt;&lt;volume&gt;322&lt;/volume&gt;&lt;title&gt;A History of Interest Rates&lt;/title&gt;&lt;uuid&gt;8A1ACE46-9127-426D-8BDF-C3EFBEE053DA&lt;/uuid&gt;&lt;subtype&gt;0&lt;/subtype&gt;&lt;publisher&gt;Wiley. com&lt;/publisher&gt;&lt;type&gt;0&lt;/type&gt;&lt;publication_date&gt;99201100001200000000200000&lt;/publication_date&gt;&lt;authors&gt;&lt;author&gt;&lt;firstName&gt;Sidney&lt;/firstName&gt;&lt;lastName&gt;Homer&lt;/lastName&gt;&lt;/author&gt;&lt;author&gt;&lt;firstName&gt;Richard&lt;/firstName&gt;&lt;lastName&gt;Sylla&lt;/lastName&gt;&lt;/author&gt;&lt;/authors&gt;&lt;/publication&gt;&lt;/publications&gt;&lt;cites&gt;&lt;/cites&gt;&lt;/citation&gt;</w:instrText>
      </w:r>
      <w:r w:rsidR="00AB6A88" w:rsidRPr="00535A4C">
        <w:rPr>
          <w:lang w:val="en-GB"/>
        </w:rPr>
        <w:fldChar w:fldCharType="separate"/>
      </w:r>
      <w:r w:rsidR="000917AF" w:rsidRPr="00535A4C">
        <w:rPr>
          <w:lang w:val="en-GB"/>
        </w:rPr>
        <w:t>Homer and</w:t>
      </w:r>
      <w:r w:rsidR="00AB6A88" w:rsidRPr="00535A4C">
        <w:rPr>
          <w:lang w:val="en-GB"/>
        </w:rPr>
        <w:t xml:space="preserve"> Sylla </w:t>
      </w:r>
      <w:r w:rsidR="00AC48D4">
        <w:rPr>
          <w:lang w:val="en-GB"/>
        </w:rPr>
        <w:t>(</w:t>
      </w:r>
      <w:r w:rsidR="00AB6A88" w:rsidRPr="00535A4C">
        <w:rPr>
          <w:lang w:val="en-GB"/>
        </w:rPr>
        <w:t>2011)</w:t>
      </w:r>
      <w:r w:rsidR="00AB6A88" w:rsidRPr="00535A4C">
        <w:rPr>
          <w:lang w:val="en-GB"/>
        </w:rPr>
        <w:fldChar w:fldCharType="end"/>
      </w:r>
      <w:r w:rsidR="00AB6A88" w:rsidRPr="00535A4C">
        <w:rPr>
          <w:lang w:val="en-GB"/>
        </w:rPr>
        <w:t xml:space="preserve">, </w:t>
      </w:r>
      <w:r w:rsidR="00AB6A88" w:rsidRPr="00535A4C">
        <w:rPr>
          <w:lang w:val="en-GB"/>
        </w:rPr>
        <w:fldChar w:fldCharType="begin"/>
      </w:r>
      <w:r w:rsidRPr="00535A4C">
        <w:rPr>
          <w:lang w:val="en-GB"/>
        </w:rPr>
        <w:instrText xml:space="preserve"> ADDIN PAPERS2_CITATIONS &lt;citation&gt;&lt;uuid&gt;89FA21DB-FADC-447E-81CD-172E065C4FAF&lt;/uuid&gt;&lt;priority&gt;25&lt;/priority&gt;&lt;publications&gt;&lt;publication&gt;&lt;uuid&gt;D53529AC-D225-4F20-B835-B3012E14337A&lt;/uuid&gt;&lt;publication_date&gt;99200100001200000000200000&lt;/publication_date&gt;&lt;title&gt;Business cycles in the Netherlands, 1815-1913&lt;/title&gt;&lt;type&gt;0&lt;/type&gt;&lt;subtype&gt;0&lt;/subtype&gt;&lt;publisher&gt;University of Groningen&lt;/publisher&gt;&lt;authors&gt;&lt;author&gt;&lt;firstName&gt;Jan&lt;/firstName&gt;&lt;lastName&gt;Jacobs&lt;/lastName&gt;&lt;/author&gt;&lt;author&gt;&lt;firstName&gt;Jan-Pieter&lt;/firstName&gt;&lt;lastName&gt;Smits&lt;/lastName&gt;&lt;/author&gt;&lt;/authors&gt;&lt;/publication&gt;&lt;/publications&gt;&lt;cites&gt;&lt;/cites&gt;&lt;/citation&gt;</w:instrText>
      </w:r>
      <w:r w:rsidR="00AB6A88" w:rsidRPr="00535A4C">
        <w:rPr>
          <w:lang w:val="en-GB"/>
        </w:rPr>
        <w:fldChar w:fldCharType="separate"/>
      </w:r>
      <w:r w:rsidR="000917AF" w:rsidRPr="00535A4C">
        <w:rPr>
          <w:lang w:val="en-GB"/>
        </w:rPr>
        <w:t>Jacobs and</w:t>
      </w:r>
      <w:r w:rsidR="00AB6A88" w:rsidRPr="00535A4C">
        <w:rPr>
          <w:lang w:val="en-GB"/>
        </w:rPr>
        <w:t xml:space="preserve"> Smits </w:t>
      </w:r>
      <w:r w:rsidR="00AC48D4">
        <w:rPr>
          <w:lang w:val="en-GB"/>
        </w:rPr>
        <w:t>(</w:t>
      </w:r>
      <w:r w:rsidR="00AB6A88" w:rsidRPr="00535A4C">
        <w:rPr>
          <w:lang w:val="en-GB"/>
        </w:rPr>
        <w:t>2001)</w:t>
      </w:r>
      <w:r w:rsidR="00AB6A88" w:rsidRPr="00535A4C">
        <w:rPr>
          <w:lang w:val="en-GB"/>
        </w:rPr>
        <w:fldChar w:fldCharType="end"/>
      </w:r>
      <w:r w:rsidR="00AB6A88" w:rsidRPr="00535A4C">
        <w:rPr>
          <w:lang w:val="en-GB"/>
        </w:rPr>
        <w:t xml:space="preserve">, </w:t>
      </w:r>
      <w:r w:rsidR="00AB6A88" w:rsidRPr="00535A4C">
        <w:rPr>
          <w:lang w:val="en-GB"/>
        </w:rPr>
        <w:fldChar w:fldCharType="begin"/>
      </w:r>
      <w:r w:rsidRPr="00535A4C">
        <w:rPr>
          <w:lang w:val="en-GB"/>
        </w:rPr>
        <w:instrText xml:space="preserve"> ADDIN PAPERS2_CITATIONS &lt;citation&gt;&lt;uuid&gt;084A47E0-9AE5-4037-A872-5572FBE3C2E1&lt;/uuid&gt;&lt;priority&gt;26&lt;/priority&gt;&lt;publications&gt;&lt;publication&gt;&lt;publication_date&gt;99200804231200000000222000&lt;/publication_date&gt;&lt;number&gt;13940&lt;/number&gt;&lt;title&gt;Macroeconomic Crises since 1870&lt;/title&gt;&lt;uuid&gt;FBAA2621-2648-4F9B-B886-3B27CFC5C126&lt;/uuid&gt;&lt;subtype&gt;400&lt;/subtype&gt;&lt;type&gt;400&lt;/type&gt;&lt;url&gt;http://www.nber.org/papers/w13940&lt;/url&gt;&lt;bundle&gt;&lt;publication&gt;&lt;title&gt;NBER Working Papers&lt;/title&gt;&lt;type&gt;-100&lt;/type&gt;&lt;subtype&gt;-100&lt;/subtype&gt;&lt;uuid&gt;AF8073C0-DEC9-495A-9162-35B0D5A4C18C&lt;/uuid&gt;&lt;/publication&gt;&lt;/bundle&gt;&lt;authors&gt;&lt;author&gt;&lt;firstName&gt;Robert&lt;/firstName&gt;&lt;middleNames&gt;J&lt;/middleNames&gt;&lt;lastName&gt;Barro&lt;/lastName&gt;&lt;/author&gt;&lt;author&gt;&lt;firstName&gt;Robert&lt;/firstName&gt;&lt;middleNames&gt;J&lt;/middleNames&gt;&lt;lastName&gt;Barro&lt;/lastName&gt;&lt;/author&gt;&lt;author&gt;&lt;firstName&gt;José&lt;/firstName&gt;&lt;middleNames&gt;F&lt;/middleNames&gt;&lt;lastName&gt;Ursúa&lt;/lastName&gt;&lt;/author&gt;&lt;author&gt;&lt;firstName&gt;José&lt;/firstName&gt;&lt;middleNames&gt;F&lt;/middleNames&gt;&lt;lastName&gt;Ursúa&lt;/lastName&gt;&lt;/author&gt;&lt;/authors&gt;&lt;/publication&gt;&lt;/publications&gt;&lt;cites&gt;&lt;/cites&gt;&lt;/citation&gt;</w:instrText>
      </w:r>
      <w:r w:rsidR="00AB6A88" w:rsidRPr="00535A4C">
        <w:rPr>
          <w:lang w:val="en-GB"/>
        </w:rPr>
        <w:fldChar w:fldCharType="separate"/>
      </w:r>
      <w:r w:rsidR="000917AF" w:rsidRPr="00535A4C">
        <w:rPr>
          <w:lang w:val="en-GB"/>
        </w:rPr>
        <w:t>Barro and</w:t>
      </w:r>
      <w:r w:rsidRPr="00535A4C">
        <w:rPr>
          <w:lang w:val="en-GB"/>
        </w:rPr>
        <w:t xml:space="preserve"> Ursúa, </w:t>
      </w:r>
      <w:r w:rsidR="00AC48D4">
        <w:rPr>
          <w:lang w:val="en-GB"/>
        </w:rPr>
        <w:t>(</w:t>
      </w:r>
      <w:r w:rsidRPr="00535A4C">
        <w:rPr>
          <w:lang w:val="en-GB"/>
        </w:rPr>
        <w:t>2008)</w:t>
      </w:r>
      <w:r w:rsidR="00AB6A88" w:rsidRPr="00535A4C">
        <w:rPr>
          <w:lang w:val="en-GB"/>
        </w:rPr>
        <w:fldChar w:fldCharType="end"/>
      </w:r>
      <w:r w:rsidR="00AB6A88" w:rsidRPr="00535A4C">
        <w:rPr>
          <w:lang w:val="en-GB"/>
        </w:rPr>
        <w:t xml:space="preserve">, </w:t>
      </w:r>
      <w:r w:rsidR="00AB6A88" w:rsidRPr="00535A4C">
        <w:rPr>
          <w:lang w:val="en-GB"/>
        </w:rPr>
        <w:fldChar w:fldCharType="begin"/>
      </w:r>
      <w:r w:rsidRPr="00535A4C">
        <w:rPr>
          <w:lang w:val="en-GB"/>
        </w:rPr>
        <w:instrText xml:space="preserve"> ADDIN PAPERS2_CITATIONS &lt;citation&gt;&lt;uuid&gt;367B2F96-7BE4-47AB-81C1-2F82DF7C490F&lt;/uuid&gt;&lt;priority&gt;27&lt;/priority&gt;&lt;publications&gt;&lt;publication&gt;&lt;subtitle&gt;The Price of Gold, 1257 - Present&lt;/subtitle&gt;&lt;title&gt;Measuring Worth &lt;/title&gt;&lt;uuid&gt;04D4E821-37C7-4DB3-8D35-4AF5A72FAC0E&lt;/uuid&gt;&lt;subtype&gt;344&lt;/subtype&gt;&lt;publisher&gt;Measuring Worth&lt;/publisher&gt;&lt;type&gt;300&lt;/type&gt;&lt;url&gt;http://www.measuringworth.com/gold/&lt;/url&gt;&lt;bundle&gt;&lt;publication&gt;&lt;title&gt;measuringworth.com&lt;/title&gt;&lt;type&gt;-200&lt;/type&gt;&lt;subtype&gt;-200&lt;/subtype&gt;&lt;uuid&gt;F20041CE-3CF9-48A3-ACD8-4F80B34AEB86&lt;/uuid&gt;&lt;/publication&gt;&lt;/bundle&gt;&lt;authors&gt;&lt;author&gt;&lt;firstName&gt;LAWRENCE&lt;/firstName&gt;&lt;middleNames&gt;H&lt;/middleNames&gt;&lt;lastName&gt;OFFICER&lt;/lastName&gt;&lt;/author&gt;&lt;author&gt;&lt;firstName&gt;Samuel&lt;/firstName&gt;&lt;middleNames&gt;H&lt;/middleNames&gt;&lt;lastName&gt;Williamson&lt;/lastName&gt;&lt;/author&gt;&lt;/authors&gt;&lt;/publication&gt;&lt;/publications&gt;&lt;cites&gt;&lt;/cites&gt;&lt;/citation&gt;</w:instrText>
      </w:r>
      <w:r w:rsidR="00AB6A88" w:rsidRPr="00535A4C">
        <w:rPr>
          <w:lang w:val="en-GB"/>
        </w:rPr>
        <w:fldChar w:fldCharType="separate"/>
      </w:r>
      <w:r w:rsidR="000917AF" w:rsidRPr="00535A4C">
        <w:rPr>
          <w:lang w:val="en-GB"/>
        </w:rPr>
        <w:t xml:space="preserve">Officer and Williamson </w:t>
      </w:r>
      <w:r w:rsidR="00AC48D4">
        <w:rPr>
          <w:lang w:val="en-GB"/>
        </w:rPr>
        <w:t>(</w:t>
      </w:r>
      <w:r w:rsidR="000917AF" w:rsidRPr="00535A4C">
        <w:rPr>
          <w:lang w:val="en-GB"/>
        </w:rPr>
        <w:t>2013</w:t>
      </w:r>
      <w:r w:rsidR="007E0F64" w:rsidRPr="00535A4C">
        <w:rPr>
          <w:lang w:val="en-GB"/>
        </w:rPr>
        <w:t>)</w:t>
      </w:r>
      <w:r w:rsidR="00AB6A88" w:rsidRPr="00535A4C">
        <w:rPr>
          <w:lang w:val="en-GB"/>
        </w:rPr>
        <w:fldChar w:fldCharType="end"/>
      </w:r>
      <w:r w:rsidR="00AB6A88" w:rsidRPr="00535A4C">
        <w:rPr>
          <w:lang w:val="en-GB"/>
        </w:rPr>
        <w:t xml:space="preserve">, </w:t>
      </w:r>
      <w:r w:rsidR="00AB6A88" w:rsidRPr="00535A4C">
        <w:rPr>
          <w:lang w:val="en-GB"/>
        </w:rPr>
        <w:fldChar w:fldCharType="begin"/>
      </w:r>
      <w:r w:rsidRPr="00535A4C">
        <w:rPr>
          <w:lang w:val="en-GB"/>
        </w:rPr>
        <w:instrText xml:space="preserve"> ADDIN PAPERS2_CITATIONS &lt;citation&gt;&lt;uuid&gt;0F482148-FBAC-4FA0-BA89-51909A5546B5&lt;/uuid&gt;&lt;priority&gt;28&lt;/priority&gt;&lt;publications&gt;&lt;publication&gt;&lt;volume&gt;8&lt;/volume&gt;&lt;number&gt;1&lt;/number&gt;&lt;startpage&gt;7&lt;/startpage&gt;&lt;title&gt;The Dutch fiscal framework: History, current practice and the role of the central planning bureau&lt;/title&gt;&lt;uuid&gt;718F6F4A-2C18-495A-A926-E1AF8D7661F2&lt;/uuid&gt;&lt;subtype&gt;400&lt;/subtype&gt;&lt;endpage&gt;48&lt;/endpage&gt;&lt;type&gt;400&lt;/type&gt;&lt;publication_date&gt;99200800001200000000200000&lt;/publication_date&gt;&lt;bundle&gt;&lt;publication&gt;&lt;title&gt;OECD Journal on budgeting&lt;/title&gt;&lt;type&gt;-100&lt;/type&gt;&lt;subtype&gt;-100&lt;/subtype&gt;&lt;uuid&gt;60990C14-E265-4CE5-A710-3B9FAA5787EF&lt;/uuid&gt;&lt;/publication&gt;&lt;/bundle&gt;&lt;authors&gt;&lt;author&gt;&lt;firstName&gt;Frits&lt;/firstName&gt;&lt;lastName&gt;Bos&lt;/lastName&gt;&lt;/author&gt;&lt;/authors&gt;&lt;/publication&gt;&lt;/publications&gt;&lt;cites&gt;&lt;/cites&gt;&lt;/citation&gt;</w:instrText>
      </w:r>
      <w:r w:rsidR="00AB6A88" w:rsidRPr="00535A4C">
        <w:rPr>
          <w:lang w:val="en-GB"/>
        </w:rPr>
        <w:fldChar w:fldCharType="separate"/>
      </w:r>
      <w:r w:rsidR="00AB6A88" w:rsidRPr="00535A4C">
        <w:rPr>
          <w:lang w:val="en-GB"/>
        </w:rPr>
        <w:t xml:space="preserve">Bos </w:t>
      </w:r>
      <w:r w:rsidR="00AC48D4">
        <w:rPr>
          <w:lang w:val="en-GB"/>
        </w:rPr>
        <w:t>(</w:t>
      </w:r>
      <w:r w:rsidR="00AB6A88" w:rsidRPr="00535A4C">
        <w:rPr>
          <w:lang w:val="en-GB"/>
        </w:rPr>
        <w:t>2008)</w:t>
      </w:r>
      <w:r w:rsidR="00AB6A88" w:rsidRPr="00535A4C">
        <w:rPr>
          <w:lang w:val="en-GB"/>
        </w:rPr>
        <w:fldChar w:fldCharType="end"/>
      </w:r>
      <w:r w:rsidR="00AB6A88" w:rsidRPr="00535A4C">
        <w:rPr>
          <w:lang w:val="en-GB"/>
        </w:rPr>
        <w:t xml:space="preserve">, </w:t>
      </w:r>
      <w:r w:rsidR="00AB6A88" w:rsidRPr="00535A4C">
        <w:rPr>
          <w:lang w:val="en-GB"/>
        </w:rPr>
        <w:fldChar w:fldCharType="begin"/>
      </w:r>
      <w:r w:rsidRPr="00535A4C">
        <w:rPr>
          <w:lang w:val="en-GB"/>
        </w:rPr>
        <w:instrText xml:space="preserve"> ADDIN PAPERS2_CITATIONS &lt;citation&gt;&lt;uuid&gt;03F37721-8E5F-4BF4-9307-B913CDEC9B09&lt;/uuid&gt;&lt;priority&gt;29&lt;/priority&gt;&lt;publications&gt;&lt;publication&gt;&lt;uuid&gt;03DA4A60-607D-4AC2-9670-CAF42408CAA2&lt;/uuid&gt;&lt;publication_date&gt;99199600001200000000200000&lt;/publication_date&gt;&lt;title&gt;A standardised time series of the stock of fixed capital in the Netherlands, 1900-1995&lt;/title&gt;&lt;type&gt;0&lt;/type&gt;&lt;subtype&gt;0&lt;/subtype&gt;&lt;publisher&gt;Groningen Growth and Development Centre, Faculty of Economics, University of Groningen&lt;/publisher&gt;&lt;authors&gt;&lt;author&gt;&lt;firstName&gt;Peter&lt;/firstName&gt;&lt;lastName&gt;Groote&lt;/lastName&gt;&lt;/author&gt;&lt;author&gt;&lt;firstName&gt;Ronald&lt;/firstName&gt;&lt;lastName&gt;Albers&lt;/lastName&gt;&lt;/author&gt;&lt;author&gt;&lt;nonDroppingParticle&gt;De&lt;/nonDroppingParticle&gt;&lt;firstName&gt;Herman&lt;/firstName&gt;&lt;lastName&gt;Jong&lt;/lastName&gt;&lt;/author&gt;&lt;/authors&gt;&lt;/publication&gt;&lt;/publications&gt;&lt;cites&gt;&lt;/cites&gt;&lt;/citation&gt;</w:instrText>
      </w:r>
      <w:r w:rsidR="00AB6A88" w:rsidRPr="00535A4C">
        <w:rPr>
          <w:lang w:val="en-GB"/>
        </w:rPr>
        <w:fldChar w:fldCharType="separate"/>
      </w:r>
      <w:r w:rsidR="000917AF" w:rsidRPr="00535A4C">
        <w:rPr>
          <w:lang w:val="en-GB"/>
        </w:rPr>
        <w:t>Groote et</w:t>
      </w:r>
      <w:r w:rsidR="00AC48D4">
        <w:rPr>
          <w:lang w:val="en-GB"/>
        </w:rPr>
        <w:t xml:space="preserve"> </w:t>
      </w:r>
      <w:r w:rsidR="000917AF" w:rsidRPr="00535A4C">
        <w:rPr>
          <w:lang w:val="en-GB"/>
        </w:rPr>
        <w:t>al.</w:t>
      </w:r>
      <w:r w:rsidR="007E0F64" w:rsidRPr="00535A4C">
        <w:rPr>
          <w:lang w:val="en-GB"/>
        </w:rPr>
        <w:t xml:space="preserve"> </w:t>
      </w:r>
      <w:r w:rsidR="00AC48D4">
        <w:rPr>
          <w:lang w:val="en-GB"/>
        </w:rPr>
        <w:t>(</w:t>
      </w:r>
      <w:r w:rsidR="007E0F64" w:rsidRPr="00535A4C">
        <w:rPr>
          <w:lang w:val="en-GB"/>
        </w:rPr>
        <w:t>1996)</w:t>
      </w:r>
      <w:r w:rsidR="00AB6A88" w:rsidRPr="00535A4C">
        <w:rPr>
          <w:lang w:val="en-GB"/>
        </w:rPr>
        <w:fldChar w:fldCharType="end"/>
      </w:r>
      <w:r w:rsidR="00AB6A88" w:rsidRPr="00535A4C">
        <w:rPr>
          <w:lang w:val="en-GB"/>
        </w:rPr>
        <w:t xml:space="preserve">, </w:t>
      </w:r>
      <w:r w:rsidR="00AB6A88" w:rsidRPr="00535A4C">
        <w:rPr>
          <w:lang w:val="en-GB"/>
        </w:rPr>
        <w:fldChar w:fldCharType="begin"/>
      </w:r>
      <w:r w:rsidRPr="00535A4C">
        <w:rPr>
          <w:lang w:val="en-GB"/>
        </w:rPr>
        <w:instrText xml:space="preserve"> ADDIN PAPERS2_CITATIONS &lt;citation&gt;&lt;uuid&gt;5DABB197-52A4-4F7D-AE68-69E93E186466&lt;/uuid&gt;&lt;priority&gt;30&lt;/priority&gt;&lt;publications&gt;&lt;publication&gt;&lt;uuid&gt;F91BD920-890E-49E0-868B-12539DCC1AAF&lt;/uuid&gt;&lt;type&gt;300&lt;/type&gt;&lt;title&gt;Homepage Statistics - De Nederlandsche Bank&lt;/title&gt;&lt;url&gt;http://www.statistics.dnb.nl/index.cgi?lang=uk&lt;/url&gt;&lt;subtype&gt;344&lt;/subtype&gt;&lt;publisher&gt;De Nederlandsche Bank&lt;/publisher&gt;&lt;bundle&gt;&lt;publication&gt;&lt;title&gt;statistics.dnb.nl&lt;/title&gt;&lt;type&gt;-200&lt;/type&gt;&lt;subtype&gt;-200&lt;/subtype&gt;&lt;uuid&gt;E35F9945-5934-40DE-A822-5C10F9CDEB11&lt;/uuid&gt;&lt;/publication&gt;&lt;/bundle&gt;&lt;/publication&gt;&lt;/publications&gt;&lt;cites&gt;&lt;/cites&gt;&lt;/citation&gt;</w:instrText>
      </w:r>
      <w:r w:rsidR="00AB6A88" w:rsidRPr="00535A4C">
        <w:rPr>
          <w:lang w:val="en-GB"/>
        </w:rPr>
        <w:fldChar w:fldCharType="separate"/>
      </w:r>
      <w:r w:rsidR="00AB6A88" w:rsidRPr="00535A4C">
        <w:rPr>
          <w:lang w:val="en-GB"/>
        </w:rPr>
        <w:t>Homepage Statistics - De Ne</w:t>
      </w:r>
      <w:r w:rsidR="000917AF" w:rsidRPr="00535A4C">
        <w:rPr>
          <w:lang w:val="en-GB"/>
        </w:rPr>
        <w:t xml:space="preserve">derlandsche Bank </w:t>
      </w:r>
      <w:r w:rsidR="00AC48D4">
        <w:rPr>
          <w:lang w:val="en-GB"/>
        </w:rPr>
        <w:t>(</w:t>
      </w:r>
      <w:r w:rsidR="000917AF" w:rsidRPr="00535A4C">
        <w:rPr>
          <w:lang w:val="en-GB"/>
        </w:rPr>
        <w:t>2013</w:t>
      </w:r>
      <w:r w:rsidR="00AB6A88" w:rsidRPr="00535A4C">
        <w:rPr>
          <w:lang w:val="en-GB"/>
        </w:rPr>
        <w:t>)</w:t>
      </w:r>
      <w:r w:rsidR="00AB6A88" w:rsidRPr="00535A4C">
        <w:rPr>
          <w:lang w:val="en-GB"/>
        </w:rPr>
        <w:fldChar w:fldCharType="end"/>
      </w:r>
      <w:r w:rsidR="00AB6A88" w:rsidRPr="00535A4C">
        <w:rPr>
          <w:lang w:val="en-GB"/>
        </w:rPr>
        <w:t xml:space="preserve">, </w:t>
      </w:r>
      <w:r w:rsidR="00AB6A88" w:rsidRPr="00535A4C">
        <w:rPr>
          <w:lang w:val="en-GB"/>
        </w:rPr>
        <w:fldChar w:fldCharType="begin"/>
      </w:r>
      <w:r w:rsidRPr="00535A4C">
        <w:rPr>
          <w:lang w:val="en-GB"/>
        </w:rPr>
        <w:instrText xml:space="preserve"> ADDIN PAPERS2_CITATIONS &lt;citation&gt;&lt;uuid&gt;5BF80572-B2F4-4EA8-AADF-DEDB5C2FFDBD&lt;/uuid&gt;&lt;priority&gt;31&lt;/priority&gt;&lt;publications&gt;&lt;publication&gt;&lt;uuid&gt;0E08C203-6C77-454B-9BF6-A5D2D7079CC2&lt;/uuid&gt;&lt;publication_date&gt;99201100001200000000200000&lt;/publication_date&gt;&lt;title&gt;Statistical evidence on the mean reversion of interest rates&lt;/title&gt;&lt;type&gt;700&lt;/type&gt;&lt;subtype&gt;700&lt;/subtype&gt;&lt;publisher&gt;Netherlands Central Bank, Research Department&lt;/publisher&gt;&lt;authors&gt;&lt;author&gt;&lt;lastName&gt;End&lt;/lastName&gt;&lt;nonDroppingParticle&gt;van den&lt;/nonDroppingParticle&gt;&lt;firstName&gt;Jan&lt;/firstName&gt;&lt;middleNames&gt;Willem&lt;/middleNames&gt;&lt;/author&gt;&lt;/authors&gt;&lt;/publication&gt;&lt;/publications&gt;&lt;cites&gt;&lt;/cites&gt;&lt;/citation&gt;</w:instrText>
      </w:r>
      <w:r w:rsidR="00AB6A88" w:rsidRPr="00535A4C">
        <w:rPr>
          <w:lang w:val="en-GB"/>
        </w:rPr>
        <w:fldChar w:fldCharType="separate"/>
      </w:r>
      <w:r w:rsidR="00AB6A88" w:rsidRPr="00535A4C">
        <w:rPr>
          <w:lang w:val="en-GB"/>
        </w:rPr>
        <w:t xml:space="preserve">van den End </w:t>
      </w:r>
      <w:r w:rsidR="00AC48D4">
        <w:rPr>
          <w:lang w:val="en-GB"/>
        </w:rPr>
        <w:t>(</w:t>
      </w:r>
      <w:r w:rsidR="00AB6A88" w:rsidRPr="00535A4C">
        <w:rPr>
          <w:lang w:val="en-GB"/>
        </w:rPr>
        <w:t>2011)</w:t>
      </w:r>
      <w:r w:rsidR="00AB6A88" w:rsidRPr="00535A4C">
        <w:rPr>
          <w:lang w:val="en-GB"/>
        </w:rPr>
        <w:fldChar w:fldCharType="end"/>
      </w:r>
      <w:r w:rsidR="00AB6A88" w:rsidRPr="00535A4C">
        <w:rPr>
          <w:lang w:val="en-GB"/>
        </w:rPr>
        <w:t xml:space="preserve">. </w:t>
      </w:r>
    </w:p>
    <w:p w14:paraId="3A11DAF5" w14:textId="77777777" w:rsidR="00E21510" w:rsidRDefault="00E21510" w:rsidP="00E63073">
      <w:pPr>
        <w:pStyle w:val="BodyText"/>
        <w:jc w:val="both"/>
        <w:rPr>
          <w:lang w:val="en-GB"/>
        </w:rPr>
      </w:pPr>
      <w:r>
        <w:rPr>
          <w:lang w:val="en-GB"/>
        </w:rPr>
        <w:t xml:space="preserve">In some cases observations were missing </w:t>
      </w:r>
      <w:r w:rsidR="00AB6A88" w:rsidRPr="00535A4C">
        <w:rPr>
          <w:lang w:val="en-GB"/>
        </w:rPr>
        <w:t>for the period</w:t>
      </w:r>
      <w:r>
        <w:rPr>
          <w:lang w:val="en-GB"/>
        </w:rPr>
        <w:t>s</w:t>
      </w:r>
      <w:r w:rsidR="00AB6A88" w:rsidRPr="00535A4C">
        <w:rPr>
          <w:lang w:val="en-GB"/>
        </w:rPr>
        <w:t xml:space="preserve"> 1800-1813, 1913-1917, 1939-1946. </w:t>
      </w:r>
      <w:r>
        <w:rPr>
          <w:lang w:val="en-GB"/>
        </w:rPr>
        <w:t xml:space="preserve">In such cases the </w:t>
      </w:r>
      <w:r w:rsidR="00AB6A88" w:rsidRPr="00535A4C">
        <w:rPr>
          <w:lang w:val="en-GB"/>
        </w:rPr>
        <w:t>SSA Reconst</w:t>
      </w:r>
      <w:r w:rsidR="00B672D2" w:rsidRPr="00535A4C">
        <w:rPr>
          <w:lang w:val="en-GB"/>
        </w:rPr>
        <w:t>ruction/Prediction filter (</w:t>
      </w:r>
      <w:proofErr w:type="spellStart"/>
      <w:r w:rsidR="00AB6A88" w:rsidRPr="00535A4C">
        <w:rPr>
          <w:lang w:val="en-GB"/>
        </w:rPr>
        <w:t>Kspectra</w:t>
      </w:r>
      <w:proofErr w:type="spellEnd"/>
      <w:r w:rsidR="00AB6A88" w:rsidRPr="00535A4C">
        <w:rPr>
          <w:lang w:val="en-GB"/>
        </w:rPr>
        <w:t xml:space="preserve"> program 3.4) </w:t>
      </w:r>
      <w:r>
        <w:rPr>
          <w:lang w:val="en-GB"/>
        </w:rPr>
        <w:t xml:space="preserve">has been </w:t>
      </w:r>
      <w:r w:rsidR="00B672D2" w:rsidRPr="00535A4C">
        <w:rPr>
          <w:lang w:val="en-GB"/>
        </w:rPr>
        <w:t xml:space="preserve">used to fill </w:t>
      </w:r>
      <w:r>
        <w:rPr>
          <w:lang w:val="en-GB"/>
        </w:rPr>
        <w:t>the gaps</w:t>
      </w:r>
      <w:r w:rsidR="00B672D2" w:rsidRPr="00535A4C">
        <w:rPr>
          <w:lang w:val="en-GB"/>
        </w:rPr>
        <w:t xml:space="preserve">, </w:t>
      </w:r>
      <w:r w:rsidR="00AB6A88" w:rsidRPr="00535A4C">
        <w:rPr>
          <w:lang w:val="en-GB"/>
        </w:rPr>
        <w:t xml:space="preserve">following </w:t>
      </w:r>
      <w:r w:rsidR="00AB6A88" w:rsidRPr="00535A4C">
        <w:rPr>
          <w:lang w:val="en-GB"/>
        </w:rPr>
        <w:fldChar w:fldCharType="begin"/>
      </w:r>
      <w:r w:rsidR="00C57097" w:rsidRPr="00535A4C">
        <w:rPr>
          <w:lang w:val="en-GB"/>
        </w:rPr>
        <w:instrText xml:space="preserve"> ADDIN PAPERS2_CITATIONS &lt;citation&gt;&lt;uuid&gt;929F852A-434D-45BF-880D-DE8ACBBB4289&lt;/uuid&gt;&lt;priority&gt;32&lt;/priority&gt;&lt;publications&gt;&lt;publication&gt;&lt;uuid&gt;42A498A8-128E-4DB1-8263-40537F27E2D8&lt;/uuid&gt;&lt;publication_date&gt;99199000001200000000200000&lt;/publication_date&gt;&lt;title&gt;Forecasting, structural time series models and the Kalman filter&lt;/title&gt;&lt;type&gt;0&lt;/type&gt;&lt;subtype&gt;0&lt;/subtype&gt;&lt;publisher&gt;Cambridge university press&lt;/publisher&gt;&lt;authors&gt;&lt;author&gt;&lt;firstName&gt;Andrew&lt;/firstName&gt;&lt;middleNames&gt;C&lt;/middleNames&gt;&lt;lastName&gt;Harvey&lt;/lastName&gt;&lt;/author&gt;&lt;/authors&gt;&lt;/publication&gt;&lt;/publications&gt;&lt;cites&gt;&lt;/cites&gt;&lt;/citation&gt;</w:instrText>
      </w:r>
      <w:r w:rsidR="00AB6A88" w:rsidRPr="00535A4C">
        <w:rPr>
          <w:lang w:val="en-GB"/>
        </w:rPr>
        <w:fldChar w:fldCharType="separate"/>
      </w:r>
      <w:r w:rsidR="00AB6A88" w:rsidRPr="00535A4C">
        <w:rPr>
          <w:lang w:val="en-GB"/>
        </w:rPr>
        <w:t xml:space="preserve">Harvey </w:t>
      </w:r>
      <w:r w:rsidR="00AC48D4">
        <w:rPr>
          <w:lang w:val="en-GB"/>
        </w:rPr>
        <w:t>(</w:t>
      </w:r>
      <w:r w:rsidR="00AB6A88" w:rsidRPr="00535A4C">
        <w:rPr>
          <w:lang w:val="en-GB"/>
        </w:rPr>
        <w:t>1990)</w:t>
      </w:r>
      <w:r w:rsidR="00AB6A88" w:rsidRPr="00535A4C">
        <w:rPr>
          <w:lang w:val="en-GB"/>
        </w:rPr>
        <w:fldChar w:fldCharType="end"/>
      </w:r>
      <w:r w:rsidR="00AB6A88" w:rsidRPr="00535A4C">
        <w:rPr>
          <w:lang w:val="en-GB"/>
        </w:rPr>
        <w:t xml:space="preserve">, </w:t>
      </w:r>
      <w:r w:rsidR="00AB6A88" w:rsidRPr="00535A4C">
        <w:rPr>
          <w:lang w:val="en-GB"/>
        </w:rPr>
        <w:fldChar w:fldCharType="begin"/>
      </w:r>
      <w:r w:rsidR="00C57097" w:rsidRPr="00535A4C">
        <w:rPr>
          <w:lang w:val="en-GB"/>
        </w:rPr>
        <w:instrText xml:space="preserve"> ADDIN PAPERS2_CITATIONS &lt;citation&gt;&lt;uuid&gt;62728452-1BE0-4163-ABFB-06131E8B20BA&lt;/uuid&gt;&lt;priority&gt;33&lt;/priority&gt;&lt;publications&gt;&lt;publication&gt;&lt;volume&gt;2&lt;/volume&gt;&lt;title&gt;Time series analysis&lt;/title&gt;&lt;uuid&gt;35CB0797-9383-409C-8437-DA89F11517DE&lt;/uuid&gt;&lt;subtype&gt;0&lt;/subtype&gt;&lt;publisher&gt;Cambridge Univ Press&lt;/publisher&gt;&lt;type&gt;0&lt;/type&gt;&lt;publication_date&gt;99199400001200000000200000&lt;/publication_date&gt;&lt;authors&gt;&lt;author&gt;&lt;firstName&gt;James&lt;/firstName&gt;&lt;middleNames&gt;Douglas&lt;/middleNames&gt;&lt;lastName&gt;Hamilton&lt;/lastName&gt;&lt;/author&gt;&lt;/authors&gt;&lt;/publication&gt;&lt;/publications&gt;&lt;cites&gt;&lt;/cites&gt;&lt;/citation&gt;</w:instrText>
      </w:r>
      <w:r w:rsidR="00AB6A88" w:rsidRPr="00535A4C">
        <w:rPr>
          <w:lang w:val="en-GB"/>
        </w:rPr>
        <w:fldChar w:fldCharType="separate"/>
      </w:r>
      <w:r w:rsidR="00AB6A88" w:rsidRPr="00535A4C">
        <w:rPr>
          <w:lang w:val="en-GB"/>
        </w:rPr>
        <w:t xml:space="preserve">Hamilton </w:t>
      </w:r>
      <w:r w:rsidR="00AC48D4">
        <w:rPr>
          <w:lang w:val="en-GB"/>
        </w:rPr>
        <w:t>(</w:t>
      </w:r>
      <w:r w:rsidR="00AB6A88" w:rsidRPr="00535A4C">
        <w:rPr>
          <w:lang w:val="en-GB"/>
        </w:rPr>
        <w:t>1994)</w:t>
      </w:r>
      <w:r w:rsidR="00AB6A88" w:rsidRPr="00535A4C">
        <w:rPr>
          <w:lang w:val="en-GB"/>
        </w:rPr>
        <w:fldChar w:fldCharType="end"/>
      </w:r>
      <w:r w:rsidR="00AB6A88" w:rsidRPr="00535A4C">
        <w:rPr>
          <w:lang w:val="en-GB"/>
        </w:rPr>
        <w:t>,</w:t>
      </w:r>
      <w:r>
        <w:rPr>
          <w:lang w:val="en-GB"/>
        </w:rPr>
        <w:t xml:space="preserve"> and</w:t>
      </w:r>
      <w:r w:rsidR="00AB6A88" w:rsidRPr="00535A4C">
        <w:rPr>
          <w:lang w:val="en-GB"/>
        </w:rPr>
        <w:t xml:space="preserve"> </w:t>
      </w:r>
      <w:r w:rsidR="00AB6A88" w:rsidRPr="00535A4C">
        <w:rPr>
          <w:lang w:val="en-GB"/>
        </w:rPr>
        <w:fldChar w:fldCharType="begin"/>
      </w:r>
      <w:r w:rsidR="00C57097" w:rsidRPr="00535A4C">
        <w:rPr>
          <w:lang w:val="en-GB"/>
        </w:rPr>
        <w:instrText xml:space="preserve"> ADDIN PAPERS2_CITATIONS &lt;citation&gt;&lt;uuid&gt;7FA911FA-C221-4209-84A7-424CDB4D8D60&lt;/uuid&gt;&lt;priority&gt;34&lt;/priority&gt;&lt;publications&gt;&lt;publication&gt;&lt;uuid&gt;E32C4606-6E0D-40C2-A5DB-737CF389CAFA&lt;/uuid&gt;&lt;publication_date&gt;99198100001200000000200000&lt;/publication_date&gt;&lt;title&gt;Spectral analysis and time series&lt;/title&gt;&lt;type&gt;400&lt;/type&gt;&lt;subtype&gt;400&lt;/subtype&gt;&lt;publisher&gt;Academic press&lt;/publisher&gt;&lt;authors&gt;&lt;author&gt;&lt;firstName&gt;Maurice&lt;/firstName&gt;&lt;middleNames&gt;Bertram&lt;/middleNames&gt;&lt;lastName&gt;Priestley&lt;/lastName&gt;&lt;/author&gt;&lt;/authors&gt;&lt;/publication&gt;&lt;/publications&gt;&lt;cites&gt;&lt;/cites&gt;&lt;/citation&gt;</w:instrText>
      </w:r>
      <w:r w:rsidR="00AB6A88" w:rsidRPr="00535A4C">
        <w:rPr>
          <w:lang w:val="en-GB"/>
        </w:rPr>
        <w:fldChar w:fldCharType="separate"/>
      </w:r>
      <w:r w:rsidR="00AB6A88" w:rsidRPr="00535A4C">
        <w:rPr>
          <w:lang w:val="en-GB"/>
        </w:rPr>
        <w:t xml:space="preserve">Priestley </w:t>
      </w:r>
      <w:r w:rsidR="00AC48D4">
        <w:rPr>
          <w:lang w:val="en-GB"/>
        </w:rPr>
        <w:t>(</w:t>
      </w:r>
      <w:r w:rsidR="00AB6A88" w:rsidRPr="00535A4C">
        <w:rPr>
          <w:lang w:val="en-GB"/>
        </w:rPr>
        <w:t>1981)</w:t>
      </w:r>
      <w:r w:rsidR="00AB6A88" w:rsidRPr="00535A4C">
        <w:rPr>
          <w:lang w:val="en-GB"/>
        </w:rPr>
        <w:fldChar w:fldCharType="end"/>
      </w:r>
      <w:r w:rsidR="00AB6A88" w:rsidRPr="00535A4C">
        <w:rPr>
          <w:lang w:val="en-GB"/>
        </w:rPr>
        <w:t xml:space="preserve">. </w:t>
      </w:r>
      <w:r>
        <w:rPr>
          <w:lang w:val="en-GB"/>
        </w:rPr>
        <w:t xml:space="preserve">Samples and variable descriptions are </w:t>
      </w:r>
      <w:r w:rsidR="00AB6A88" w:rsidRPr="00535A4C">
        <w:rPr>
          <w:lang w:val="en-GB"/>
        </w:rPr>
        <w:t xml:space="preserve">listed in </w:t>
      </w:r>
      <w:r>
        <w:rPr>
          <w:lang w:val="en-GB"/>
        </w:rPr>
        <w:t>Table A1 in the Appendix</w:t>
      </w:r>
      <w:r w:rsidR="00AB6A88" w:rsidRPr="00535A4C">
        <w:rPr>
          <w:lang w:val="en-GB"/>
        </w:rPr>
        <w:t xml:space="preserve">. </w:t>
      </w:r>
      <w:r>
        <w:rPr>
          <w:lang w:val="en-GB"/>
        </w:rPr>
        <w:t xml:space="preserve">In the end only 15 of the </w:t>
      </w:r>
      <w:r w:rsidR="00AB6A88" w:rsidRPr="00535A4C">
        <w:rPr>
          <w:lang w:val="en-GB"/>
        </w:rPr>
        <w:t>73 variables</w:t>
      </w:r>
      <w:r>
        <w:rPr>
          <w:lang w:val="en-GB"/>
        </w:rPr>
        <w:t xml:space="preserve"> were included in the empirical model</w:t>
      </w:r>
      <w:r w:rsidR="00AB6A88" w:rsidRPr="00535A4C">
        <w:rPr>
          <w:lang w:val="en-GB"/>
        </w:rPr>
        <w:t xml:space="preserve">, on </w:t>
      </w:r>
      <w:r>
        <w:rPr>
          <w:lang w:val="en-GB"/>
        </w:rPr>
        <w:t xml:space="preserve">the basis of </w:t>
      </w:r>
      <w:r w:rsidR="00AB6A88" w:rsidRPr="00535A4C">
        <w:rPr>
          <w:lang w:val="en-GB"/>
        </w:rPr>
        <w:t xml:space="preserve">data availability, </w:t>
      </w:r>
      <w:r>
        <w:rPr>
          <w:lang w:val="en-GB"/>
        </w:rPr>
        <w:t xml:space="preserve">theoretical considerations </w:t>
      </w:r>
      <w:r w:rsidR="00AB6A88" w:rsidRPr="00535A4C">
        <w:rPr>
          <w:lang w:val="en-GB"/>
        </w:rPr>
        <w:t>and</w:t>
      </w:r>
      <w:r w:rsidR="00B672D2" w:rsidRPr="00535A4C">
        <w:rPr>
          <w:lang w:val="en-GB"/>
        </w:rPr>
        <w:t xml:space="preserve"> </w:t>
      </w:r>
      <w:r w:rsidR="00ED3835" w:rsidRPr="00535A4C">
        <w:rPr>
          <w:lang w:val="en-GB"/>
        </w:rPr>
        <w:t>pre-processing</w:t>
      </w:r>
      <w:r w:rsidR="00AB6A88" w:rsidRPr="00535A4C">
        <w:rPr>
          <w:lang w:val="en-GB"/>
        </w:rPr>
        <w:t xml:space="preserve"> analysis (PCA screening).</w:t>
      </w:r>
    </w:p>
    <w:p w14:paraId="5A09C623" w14:textId="77777777" w:rsidR="00E21510" w:rsidRPr="00E21510" w:rsidRDefault="00E21510" w:rsidP="00E21510">
      <w:pPr>
        <w:pStyle w:val="BodyText"/>
        <w:ind w:firstLine="0"/>
        <w:jc w:val="both"/>
        <w:rPr>
          <w:b/>
          <w:lang w:val="en-GB"/>
        </w:rPr>
      </w:pPr>
      <w:r>
        <w:rPr>
          <w:b/>
          <w:lang w:val="en-GB"/>
        </w:rPr>
        <w:t xml:space="preserve">2.2 Descriptive </w:t>
      </w:r>
      <w:r w:rsidRPr="00E21510">
        <w:rPr>
          <w:b/>
          <w:lang w:val="en-GB"/>
        </w:rPr>
        <w:t>analysis</w:t>
      </w:r>
    </w:p>
    <w:p w14:paraId="44032473" w14:textId="77777777" w:rsidR="00E21510" w:rsidRPr="00E21510" w:rsidRDefault="00E21510" w:rsidP="00DE4822">
      <w:pPr>
        <w:pStyle w:val="BodyText"/>
        <w:jc w:val="both"/>
        <w:rPr>
          <w:lang w:val="en-GB"/>
        </w:rPr>
      </w:pPr>
      <w:r>
        <w:rPr>
          <w:lang w:val="en-GB"/>
        </w:rPr>
        <w:t>Co-</w:t>
      </w:r>
      <w:r w:rsidRPr="00E21510">
        <w:rPr>
          <w:lang w:val="en-GB"/>
        </w:rPr>
        <w:t xml:space="preserve">movement between long-term interest rates </w:t>
      </w:r>
      <w:r w:rsidR="00F16834">
        <w:rPr>
          <w:lang w:val="en-GB"/>
        </w:rPr>
        <w:t>(</w:t>
      </w:r>
      <w:r w:rsidR="00D07445">
        <w:rPr>
          <w:lang w:val="en-GB"/>
        </w:rPr>
        <w:t xml:space="preserve">LR - </w:t>
      </w:r>
      <w:r w:rsidR="00F16834">
        <w:rPr>
          <w:lang w:val="en-GB"/>
        </w:rPr>
        <w:t xml:space="preserve">yields on </w:t>
      </w:r>
      <w:proofErr w:type="spellStart"/>
      <w:r w:rsidR="00F16834">
        <w:rPr>
          <w:lang w:val="en-GB"/>
        </w:rPr>
        <w:t>Consols</w:t>
      </w:r>
      <w:proofErr w:type="spellEnd"/>
      <w:r w:rsidR="00F16834">
        <w:rPr>
          <w:lang w:val="en-GB"/>
        </w:rPr>
        <w:t xml:space="preserve">) and consumer </w:t>
      </w:r>
      <w:r w:rsidR="00F16834" w:rsidRPr="00C84D63">
        <w:rPr>
          <w:lang w:val="en-GB"/>
        </w:rPr>
        <w:t xml:space="preserve">prices </w:t>
      </w:r>
      <w:r w:rsidR="00D07445" w:rsidRPr="00C84D63">
        <w:rPr>
          <w:lang w:val="en-GB"/>
        </w:rPr>
        <w:t>(CPI</w:t>
      </w:r>
      <w:r w:rsidR="00F236F4" w:rsidRPr="00C84D63">
        <w:rPr>
          <w:lang w:val="en-GB"/>
        </w:rPr>
        <w:t xml:space="preserve"> – consumer price index 1995=100</w:t>
      </w:r>
      <w:r w:rsidR="00D07445" w:rsidRPr="00C84D63">
        <w:rPr>
          <w:lang w:val="en-GB"/>
        </w:rPr>
        <w:t xml:space="preserve">) </w:t>
      </w:r>
      <w:r w:rsidRPr="00C84D63">
        <w:rPr>
          <w:lang w:val="en-GB"/>
        </w:rPr>
        <w:t xml:space="preserve">as described </w:t>
      </w:r>
      <w:r w:rsidR="00F16834" w:rsidRPr="00C84D63">
        <w:rPr>
          <w:lang w:val="en-GB"/>
        </w:rPr>
        <w:t xml:space="preserve">in </w:t>
      </w:r>
      <w:r w:rsidR="00F16834">
        <w:rPr>
          <w:lang w:val="en-GB"/>
        </w:rPr>
        <w:t xml:space="preserve">Gibson </w:t>
      </w:r>
      <w:r w:rsidR="00AC48D4">
        <w:rPr>
          <w:lang w:val="en-GB"/>
        </w:rPr>
        <w:t>(</w:t>
      </w:r>
      <w:r w:rsidR="00F16834">
        <w:rPr>
          <w:lang w:val="en-GB"/>
        </w:rPr>
        <w:t xml:space="preserve">1923) is clearly present </w:t>
      </w:r>
      <w:r>
        <w:rPr>
          <w:lang w:val="en-GB"/>
        </w:rPr>
        <w:t>in the Netherlands (see F</w:t>
      </w:r>
      <w:r w:rsidRPr="00E21510">
        <w:rPr>
          <w:lang w:val="en-GB"/>
        </w:rPr>
        <w:t xml:space="preserve">igure 1). </w:t>
      </w:r>
      <w:r>
        <w:rPr>
          <w:lang w:val="en-GB"/>
        </w:rPr>
        <w:t xml:space="preserve">However, a break </w:t>
      </w:r>
      <w:r w:rsidR="00284C8F">
        <w:rPr>
          <w:lang w:val="en-GB"/>
        </w:rPr>
        <w:t>occurred</w:t>
      </w:r>
      <w:r w:rsidR="00F16834">
        <w:rPr>
          <w:lang w:val="en-GB"/>
        </w:rPr>
        <w:t xml:space="preserve"> </w:t>
      </w:r>
      <w:r>
        <w:rPr>
          <w:lang w:val="en-GB"/>
        </w:rPr>
        <w:t>af</w:t>
      </w:r>
      <w:r w:rsidRPr="00E21510">
        <w:rPr>
          <w:lang w:val="en-GB"/>
        </w:rPr>
        <w:t xml:space="preserve">ter </w:t>
      </w:r>
      <w:r>
        <w:rPr>
          <w:lang w:val="en-GB"/>
        </w:rPr>
        <w:t>W</w:t>
      </w:r>
      <w:r w:rsidR="00F16834">
        <w:rPr>
          <w:lang w:val="en-GB"/>
        </w:rPr>
        <w:t>WII</w:t>
      </w:r>
      <w:r w:rsidRPr="00E21510">
        <w:rPr>
          <w:lang w:val="en-GB"/>
        </w:rPr>
        <w:t xml:space="preserve">. </w:t>
      </w:r>
      <w:r w:rsidR="00F16834">
        <w:rPr>
          <w:lang w:val="en-GB"/>
        </w:rPr>
        <w:t>An even stronger correlation can be seen between short-term rates and prices (see Figure 2).</w:t>
      </w:r>
    </w:p>
    <w:p w14:paraId="479A33A8" w14:textId="77777777" w:rsidR="00E21510" w:rsidRPr="00F16834" w:rsidRDefault="00F16834" w:rsidP="00F16834">
      <w:pPr>
        <w:pStyle w:val="BodyText"/>
        <w:jc w:val="both"/>
        <w:rPr>
          <w:b/>
          <w:lang w:val="en-GB"/>
        </w:rPr>
      </w:pPr>
      <w:r>
        <w:rPr>
          <w:b/>
          <w:lang w:val="en-GB"/>
        </w:rPr>
        <w:t>Insert Figure 1 around here</w:t>
      </w:r>
    </w:p>
    <w:p w14:paraId="01BC92BF" w14:textId="77777777" w:rsidR="00E21510" w:rsidRPr="00DE4822" w:rsidRDefault="00E21510" w:rsidP="00DE4822">
      <w:pPr>
        <w:pStyle w:val="BodyText"/>
        <w:jc w:val="both"/>
        <w:rPr>
          <w:b/>
          <w:lang w:val="en-GB"/>
        </w:rPr>
      </w:pPr>
      <w:r w:rsidRPr="00F16834">
        <w:rPr>
          <w:b/>
          <w:lang w:val="en-GB"/>
        </w:rPr>
        <w:t>Insert Figure 2</w:t>
      </w:r>
      <w:r w:rsidR="00DE4822">
        <w:rPr>
          <w:b/>
          <w:lang w:val="en-GB"/>
        </w:rPr>
        <w:t xml:space="preserve"> around here</w:t>
      </w:r>
    </w:p>
    <w:p w14:paraId="3A564D47" w14:textId="77777777" w:rsidR="00E21510" w:rsidRPr="00E21510" w:rsidRDefault="00F16834" w:rsidP="00E21510">
      <w:pPr>
        <w:pStyle w:val="BodyText"/>
        <w:jc w:val="both"/>
        <w:rPr>
          <w:lang w:val="en-GB"/>
        </w:rPr>
      </w:pPr>
      <w:r>
        <w:rPr>
          <w:lang w:val="en-GB"/>
        </w:rPr>
        <w:t xml:space="preserve">Further evidence is provided by </w:t>
      </w:r>
      <w:r w:rsidR="00E21510" w:rsidRPr="00E21510">
        <w:rPr>
          <w:lang w:val="en-GB"/>
        </w:rPr>
        <w:t>Table 1</w:t>
      </w:r>
      <w:r w:rsidR="00DE4822">
        <w:rPr>
          <w:lang w:val="en-GB"/>
        </w:rPr>
        <w:t>,</w:t>
      </w:r>
      <w:r w:rsidR="00E21510" w:rsidRPr="00E21510">
        <w:rPr>
          <w:lang w:val="en-GB"/>
        </w:rPr>
        <w:t xml:space="preserve"> </w:t>
      </w:r>
      <w:r>
        <w:rPr>
          <w:lang w:val="en-GB"/>
        </w:rPr>
        <w:t>which reports the correlation coef</w:t>
      </w:r>
      <w:r w:rsidR="00E21510" w:rsidRPr="00E21510">
        <w:rPr>
          <w:lang w:val="en-GB"/>
        </w:rPr>
        <w:t>f</w:t>
      </w:r>
      <w:r>
        <w:rPr>
          <w:lang w:val="en-GB"/>
        </w:rPr>
        <w:t xml:space="preserve">icients for different sub-samples. </w:t>
      </w:r>
      <w:r w:rsidR="00E21510" w:rsidRPr="00E21510">
        <w:rPr>
          <w:lang w:val="en-GB"/>
        </w:rPr>
        <w:t xml:space="preserve"> </w:t>
      </w:r>
      <w:r w:rsidR="00DE4822">
        <w:rPr>
          <w:lang w:val="en-GB"/>
        </w:rPr>
        <w:t xml:space="preserve">It </w:t>
      </w:r>
      <w:r>
        <w:rPr>
          <w:lang w:val="en-GB"/>
        </w:rPr>
        <w:t xml:space="preserve">would suggest that Gibson’s paradox only </w:t>
      </w:r>
      <w:r w:rsidR="00E21510" w:rsidRPr="00E21510">
        <w:rPr>
          <w:lang w:val="en-GB"/>
        </w:rPr>
        <w:t xml:space="preserve">existed in the 19th </w:t>
      </w:r>
      <w:r w:rsidR="00E21510" w:rsidRPr="00E21510">
        <w:rPr>
          <w:lang w:val="en-GB"/>
        </w:rPr>
        <w:lastRenderedPageBreak/>
        <w:t xml:space="preserve">century. </w:t>
      </w:r>
      <w:r>
        <w:rPr>
          <w:lang w:val="en-GB"/>
        </w:rPr>
        <w:t>However, such a conclusion, based on static sample correlations</w:t>
      </w:r>
      <w:r w:rsidR="00DE4822">
        <w:rPr>
          <w:lang w:val="en-GB"/>
        </w:rPr>
        <w:t>,</w:t>
      </w:r>
      <w:r>
        <w:rPr>
          <w:lang w:val="en-GB"/>
        </w:rPr>
        <w:t xml:space="preserve"> would be misleading</w:t>
      </w:r>
      <w:r w:rsidR="00DE4822">
        <w:rPr>
          <w:lang w:val="en-GB"/>
        </w:rPr>
        <w:t>. In fact t</w:t>
      </w:r>
      <w:r w:rsidR="00DE4822" w:rsidRPr="00DE4822">
        <w:rPr>
          <w:lang w:val="en-GB"/>
        </w:rPr>
        <w:t>he rolling window correlation shown in Figure 3</w:t>
      </w:r>
      <w:r w:rsidR="00DE4822">
        <w:rPr>
          <w:lang w:val="en-GB"/>
        </w:rPr>
        <w:t>,</w:t>
      </w:r>
      <w:r w:rsidR="00DE4822" w:rsidRPr="00DE4822">
        <w:rPr>
          <w:lang w:val="en-GB"/>
        </w:rPr>
        <w:t xml:space="preserve"> </w:t>
      </w:r>
      <w:r w:rsidR="00DE4822">
        <w:rPr>
          <w:lang w:val="en-GB"/>
        </w:rPr>
        <w:t xml:space="preserve">which provides a dynamic picture, supports </w:t>
      </w:r>
      <w:r w:rsidR="00DE4822" w:rsidRPr="00DE4822">
        <w:rPr>
          <w:lang w:val="en-GB"/>
        </w:rPr>
        <w:t>the existence of Gibson’s paradox in the Netherlands.</w:t>
      </w:r>
    </w:p>
    <w:p w14:paraId="1BDF76DD" w14:textId="77777777" w:rsidR="00E21510" w:rsidRPr="00DE4822" w:rsidRDefault="00E21510" w:rsidP="00E21510">
      <w:pPr>
        <w:pStyle w:val="BodyText"/>
        <w:jc w:val="both"/>
        <w:rPr>
          <w:b/>
          <w:lang w:val="en-GB"/>
        </w:rPr>
      </w:pPr>
      <w:r w:rsidRPr="00DE4822">
        <w:rPr>
          <w:b/>
          <w:lang w:val="en-GB"/>
        </w:rPr>
        <w:t>Insert Figure 3 around here</w:t>
      </w:r>
    </w:p>
    <w:p w14:paraId="66DFAD23" w14:textId="77777777" w:rsidR="00E21510" w:rsidRPr="00E21510" w:rsidRDefault="00DE4822" w:rsidP="00DE4822">
      <w:pPr>
        <w:pStyle w:val="BodyText"/>
        <w:jc w:val="both"/>
        <w:rPr>
          <w:lang w:val="en-GB"/>
        </w:rPr>
      </w:pPr>
      <w:r>
        <w:rPr>
          <w:lang w:val="en-GB"/>
        </w:rPr>
        <w:t xml:space="preserve">It is clear from this figure that changes in </w:t>
      </w:r>
      <w:r w:rsidR="00E21510" w:rsidRPr="00E21510">
        <w:rPr>
          <w:lang w:val="en-GB"/>
        </w:rPr>
        <w:t xml:space="preserve">monetary policy regimes and </w:t>
      </w:r>
      <w:r>
        <w:rPr>
          <w:lang w:val="en-GB"/>
        </w:rPr>
        <w:t xml:space="preserve">the adoption of the </w:t>
      </w:r>
      <w:r w:rsidR="00E21510" w:rsidRPr="00E21510">
        <w:rPr>
          <w:lang w:val="en-GB"/>
        </w:rPr>
        <w:t xml:space="preserve">gold standard </w:t>
      </w:r>
      <w:r>
        <w:rPr>
          <w:lang w:val="en-GB"/>
        </w:rPr>
        <w:t xml:space="preserve">by </w:t>
      </w:r>
      <w:proofErr w:type="gramStart"/>
      <w:r>
        <w:rPr>
          <w:lang w:val="en-GB"/>
        </w:rPr>
        <w:t>themselves</w:t>
      </w:r>
      <w:proofErr w:type="gramEnd"/>
      <w:r>
        <w:rPr>
          <w:lang w:val="en-GB"/>
        </w:rPr>
        <w:t xml:space="preserve"> cannot explain </w:t>
      </w:r>
      <w:r w:rsidR="00E21510" w:rsidRPr="00E21510">
        <w:rPr>
          <w:lang w:val="en-GB"/>
        </w:rPr>
        <w:t>the observed Gibson</w:t>
      </w:r>
      <w:r>
        <w:rPr>
          <w:lang w:val="en-GB"/>
        </w:rPr>
        <w:t>’s</w:t>
      </w:r>
      <w:r w:rsidR="00E21510" w:rsidRPr="00E21510">
        <w:rPr>
          <w:lang w:val="en-GB"/>
        </w:rPr>
        <w:t xml:space="preserve"> paradox. </w:t>
      </w:r>
      <w:r>
        <w:rPr>
          <w:lang w:val="en-GB"/>
        </w:rPr>
        <w:t>A b</w:t>
      </w:r>
      <w:r w:rsidR="00E21510" w:rsidRPr="00E21510">
        <w:rPr>
          <w:lang w:val="en-GB"/>
        </w:rPr>
        <w:t xml:space="preserve">imetallic silver/gold standard regime </w:t>
      </w:r>
      <w:r>
        <w:rPr>
          <w:lang w:val="en-GB"/>
        </w:rPr>
        <w:t>was present in t</w:t>
      </w:r>
      <w:r w:rsidR="00E21510" w:rsidRPr="00E21510">
        <w:rPr>
          <w:lang w:val="en-GB"/>
        </w:rPr>
        <w:t xml:space="preserve">he Netherlands </w:t>
      </w:r>
      <w:r>
        <w:rPr>
          <w:lang w:val="en-GB"/>
        </w:rPr>
        <w:t xml:space="preserve">in the period 1815-1848, whilst the </w:t>
      </w:r>
      <w:r w:rsidR="00E21510" w:rsidRPr="00E21510">
        <w:rPr>
          <w:lang w:val="en-GB"/>
        </w:rPr>
        <w:t xml:space="preserve">classical gold standard regime </w:t>
      </w:r>
      <w:r w:rsidR="00284C8F">
        <w:rPr>
          <w:lang w:val="en-GB"/>
        </w:rPr>
        <w:t xml:space="preserve">was in place in 1875-1913, </w:t>
      </w:r>
      <w:r>
        <w:rPr>
          <w:lang w:val="en-GB"/>
        </w:rPr>
        <w:t xml:space="preserve">was </w:t>
      </w:r>
      <w:r w:rsidR="00E21510" w:rsidRPr="00E21510">
        <w:rPr>
          <w:lang w:val="en-GB"/>
        </w:rPr>
        <w:t>suspen</w:t>
      </w:r>
      <w:r>
        <w:rPr>
          <w:lang w:val="en-GB"/>
        </w:rPr>
        <w:t>ded in 1914-1925, readopted in 1</w:t>
      </w:r>
      <w:r w:rsidR="00E21510" w:rsidRPr="00E21510">
        <w:rPr>
          <w:lang w:val="en-GB"/>
        </w:rPr>
        <w:t>926-1936</w:t>
      </w:r>
      <w:r>
        <w:rPr>
          <w:lang w:val="en-GB"/>
        </w:rPr>
        <w:t xml:space="preserve">, and then </w:t>
      </w:r>
      <w:r w:rsidR="00E21510" w:rsidRPr="00E21510">
        <w:rPr>
          <w:lang w:val="en-GB"/>
        </w:rPr>
        <w:t>abandoned. Gibson</w:t>
      </w:r>
      <w:r>
        <w:rPr>
          <w:lang w:val="en-GB"/>
        </w:rPr>
        <w:t>’s paradox was present in t</w:t>
      </w:r>
      <w:r w:rsidR="00E21510" w:rsidRPr="00E21510">
        <w:rPr>
          <w:lang w:val="en-GB"/>
        </w:rPr>
        <w:t xml:space="preserve">he Netherlands both </w:t>
      </w:r>
      <w:r>
        <w:rPr>
          <w:lang w:val="en-GB"/>
        </w:rPr>
        <w:t xml:space="preserve">under the </w:t>
      </w:r>
      <w:r w:rsidR="00E21510" w:rsidRPr="00E21510">
        <w:rPr>
          <w:lang w:val="en-GB"/>
        </w:rPr>
        <w:t>classical gold regime and when this regime was</w:t>
      </w:r>
      <w:r>
        <w:rPr>
          <w:lang w:val="en-GB"/>
        </w:rPr>
        <w:t xml:space="preserve"> abandoned or suspended. Another </w:t>
      </w:r>
      <w:r w:rsidR="00E21510" w:rsidRPr="00E21510">
        <w:rPr>
          <w:lang w:val="en-GB"/>
        </w:rPr>
        <w:t>policy regime change (</w:t>
      </w:r>
      <w:r>
        <w:rPr>
          <w:lang w:val="en-GB"/>
        </w:rPr>
        <w:t xml:space="preserve">i.e., </w:t>
      </w:r>
      <w:r w:rsidR="00E21510" w:rsidRPr="00E21510">
        <w:rPr>
          <w:lang w:val="en-GB"/>
        </w:rPr>
        <w:t xml:space="preserve">Netherlands joining EMU) had a large impact on the price-interest </w:t>
      </w:r>
      <w:r>
        <w:rPr>
          <w:lang w:val="en-GB"/>
        </w:rPr>
        <w:t xml:space="preserve">link: from 1999 bond yields </w:t>
      </w:r>
      <w:r w:rsidR="00E21510" w:rsidRPr="00E21510">
        <w:rPr>
          <w:lang w:val="en-GB"/>
        </w:rPr>
        <w:t>declined rapidly while prices rema</w:t>
      </w:r>
      <w:r>
        <w:rPr>
          <w:lang w:val="en-GB"/>
        </w:rPr>
        <w:t>ined stable</w:t>
      </w:r>
      <w:r w:rsidR="00E21510" w:rsidRPr="00E21510">
        <w:rPr>
          <w:lang w:val="en-GB"/>
        </w:rPr>
        <w:t xml:space="preserve">. </w:t>
      </w:r>
    </w:p>
    <w:p w14:paraId="2E02020A" w14:textId="77777777" w:rsidR="00E21510" w:rsidRPr="00E21510" w:rsidRDefault="00E21510" w:rsidP="00E21510">
      <w:pPr>
        <w:pStyle w:val="BodyText"/>
        <w:jc w:val="both"/>
        <w:rPr>
          <w:lang w:val="en-GB"/>
        </w:rPr>
      </w:pPr>
      <w:r w:rsidRPr="00E21510">
        <w:rPr>
          <w:lang w:val="en-GB"/>
        </w:rPr>
        <w:t>Table 1</w:t>
      </w:r>
      <w:r w:rsidR="00F16834">
        <w:rPr>
          <w:lang w:val="en-GB"/>
        </w:rPr>
        <w:t xml:space="preserve"> </w:t>
      </w:r>
    </w:p>
    <w:p w14:paraId="1E1509CF" w14:textId="77777777" w:rsidR="00AC48D4" w:rsidRPr="00AC48D4" w:rsidRDefault="00AC48D4" w:rsidP="00AC48D4">
      <w:pPr>
        <w:pStyle w:val="BodyText"/>
        <w:ind w:firstLine="0"/>
        <w:jc w:val="both"/>
        <w:rPr>
          <w:sz w:val="22"/>
          <w:szCs w:val="22"/>
          <w:lang w:val="en-GB"/>
        </w:rPr>
      </w:pPr>
      <w:r w:rsidRPr="007B26A3">
        <w:rPr>
          <w:sz w:val="22"/>
          <w:szCs w:val="22"/>
          <w:lang w:val="en-GB"/>
        </w:rPr>
        <w:t>Coefficients of Correlation Between LR and CPI, log CPI in The Netherlands 1800-2012</w:t>
      </w:r>
    </w:p>
    <w:tbl>
      <w:tblPr>
        <w:tblW w:w="7192" w:type="dxa"/>
        <w:jc w:val="center"/>
        <w:tblBorders>
          <w:top w:val="single" w:sz="4" w:space="0" w:color="auto"/>
          <w:bottom w:val="single" w:sz="4" w:space="0" w:color="auto"/>
        </w:tblBorders>
        <w:tblCellMar>
          <w:left w:w="0" w:type="dxa"/>
          <w:right w:w="0" w:type="dxa"/>
        </w:tblCellMar>
        <w:tblLook w:val="00A0" w:firstRow="1" w:lastRow="0" w:firstColumn="1" w:lastColumn="0" w:noHBand="0" w:noVBand="0"/>
      </w:tblPr>
      <w:tblGrid>
        <w:gridCol w:w="1280"/>
        <w:gridCol w:w="1364"/>
        <w:gridCol w:w="2274"/>
        <w:gridCol w:w="2274"/>
      </w:tblGrid>
      <w:tr w:rsidR="00AC48D4" w:rsidRPr="00535A4C" w14:paraId="2AE2213F" w14:textId="77777777" w:rsidTr="007B26A3">
        <w:trPr>
          <w:trHeight w:val="816"/>
          <w:jc w:val="center"/>
        </w:trPr>
        <w:tc>
          <w:tcPr>
            <w:tcW w:w="0" w:type="auto"/>
            <w:tcBorders>
              <w:top w:val="single" w:sz="4" w:space="0" w:color="auto"/>
              <w:bottom w:val="single" w:sz="4" w:space="0" w:color="auto"/>
            </w:tcBorders>
            <w:shd w:val="clear" w:color="auto" w:fill="auto"/>
          </w:tcPr>
          <w:p w14:paraId="28260B50" w14:textId="77777777" w:rsidR="00AC48D4" w:rsidRPr="00465F1A" w:rsidRDefault="00AC48D4" w:rsidP="00AC48D4">
            <w:pPr>
              <w:pStyle w:val="TitleColumnHeading"/>
              <w:rPr>
                <w:rFonts w:ascii="Cambria" w:eastAsia="MS ??" w:hAnsi="Cambria"/>
                <w:lang w:eastAsia="ja-JP"/>
              </w:rPr>
            </w:pPr>
            <w:r w:rsidRPr="00465F1A">
              <w:rPr>
                <w:rFonts w:ascii="Cambria" w:eastAsia="MS ??" w:hAnsi="Cambria"/>
                <w:lang w:eastAsia="ja-JP"/>
              </w:rPr>
              <w:t>Periods</w:t>
            </w:r>
          </w:p>
        </w:tc>
        <w:tc>
          <w:tcPr>
            <w:tcW w:w="0" w:type="auto"/>
            <w:tcBorders>
              <w:top w:val="single" w:sz="4" w:space="0" w:color="auto"/>
              <w:bottom w:val="single" w:sz="4" w:space="0" w:color="auto"/>
            </w:tcBorders>
            <w:shd w:val="clear" w:color="auto" w:fill="auto"/>
          </w:tcPr>
          <w:p w14:paraId="568CCFFB" w14:textId="77777777" w:rsidR="00AC48D4" w:rsidRPr="00465F1A" w:rsidRDefault="00AC48D4" w:rsidP="00AC48D4">
            <w:pPr>
              <w:pStyle w:val="TitleColumnHeading"/>
              <w:rPr>
                <w:rFonts w:ascii="Cambria" w:eastAsia="MS ??" w:hAnsi="Cambria"/>
                <w:lang w:eastAsia="ja-JP"/>
              </w:rPr>
            </w:pPr>
            <w:r w:rsidRPr="00465F1A">
              <w:rPr>
                <w:rFonts w:ascii="Cambria" w:eastAsia="MS ??" w:hAnsi="Cambria"/>
                <w:lang w:eastAsia="ja-JP"/>
              </w:rPr>
              <w:t>LR and CPI</w:t>
            </w:r>
          </w:p>
        </w:tc>
        <w:tc>
          <w:tcPr>
            <w:tcW w:w="2274" w:type="dxa"/>
            <w:tcBorders>
              <w:top w:val="single" w:sz="4" w:space="0" w:color="auto"/>
              <w:bottom w:val="single" w:sz="4" w:space="0" w:color="auto"/>
            </w:tcBorders>
            <w:shd w:val="clear" w:color="auto" w:fill="auto"/>
          </w:tcPr>
          <w:p w14:paraId="7313BACE" w14:textId="77777777" w:rsidR="00AC48D4" w:rsidRPr="00465F1A" w:rsidRDefault="00AC48D4" w:rsidP="00AC48D4">
            <w:pPr>
              <w:pStyle w:val="TitleColumnHeading"/>
              <w:rPr>
                <w:rFonts w:ascii="Cambria" w:eastAsia="MS ??" w:hAnsi="Cambria"/>
                <w:lang w:eastAsia="ja-JP"/>
              </w:rPr>
            </w:pPr>
            <w:r w:rsidRPr="00465F1A">
              <w:rPr>
                <w:rFonts w:ascii="Cambria" w:eastAsia="MS ??" w:hAnsi="Cambria"/>
                <w:lang w:eastAsia="ja-JP"/>
              </w:rPr>
              <w:t xml:space="preserve">LR and </w:t>
            </w:r>
            <w:proofErr w:type="spellStart"/>
            <w:r w:rsidRPr="00465F1A">
              <w:rPr>
                <w:rFonts w:ascii="Cambria" w:eastAsia="MS ??" w:hAnsi="Cambria"/>
                <w:lang w:eastAsia="ja-JP"/>
              </w:rPr>
              <w:t>logCPI</w:t>
            </w:r>
            <w:proofErr w:type="spellEnd"/>
          </w:p>
        </w:tc>
        <w:tc>
          <w:tcPr>
            <w:tcW w:w="2274" w:type="dxa"/>
            <w:tcBorders>
              <w:top w:val="single" w:sz="4" w:space="0" w:color="auto"/>
              <w:bottom w:val="single" w:sz="4" w:space="0" w:color="auto"/>
            </w:tcBorders>
            <w:shd w:val="clear" w:color="auto" w:fill="auto"/>
          </w:tcPr>
          <w:p w14:paraId="56F25CE2" w14:textId="77777777" w:rsidR="00AC48D4" w:rsidRPr="00465F1A" w:rsidRDefault="00AC48D4" w:rsidP="00AC48D4">
            <w:pPr>
              <w:pStyle w:val="TitleColumnHeading"/>
              <w:rPr>
                <w:rFonts w:ascii="Cambria" w:eastAsia="MS ??" w:hAnsi="Cambria"/>
                <w:lang w:eastAsia="ja-JP"/>
              </w:rPr>
            </w:pPr>
            <w:r w:rsidRPr="00465F1A">
              <w:rPr>
                <w:rFonts w:ascii="Cambria" w:eastAsia="MS ??" w:hAnsi="Cambria"/>
                <w:lang w:eastAsia="ja-JP"/>
              </w:rPr>
              <w:t>Gibson paradox existence</w:t>
            </w:r>
          </w:p>
        </w:tc>
      </w:tr>
      <w:tr w:rsidR="00AC48D4" w:rsidRPr="00535A4C" w14:paraId="1388CE7D" w14:textId="77777777" w:rsidTr="007B26A3">
        <w:trPr>
          <w:trHeight w:val="568"/>
          <w:jc w:val="center"/>
        </w:trPr>
        <w:tc>
          <w:tcPr>
            <w:tcW w:w="0" w:type="auto"/>
            <w:tcBorders>
              <w:top w:val="single" w:sz="4" w:space="0" w:color="auto"/>
            </w:tcBorders>
            <w:shd w:val="clear" w:color="auto" w:fill="auto"/>
          </w:tcPr>
          <w:p w14:paraId="40222AE1" w14:textId="77777777" w:rsidR="00AC48D4" w:rsidRPr="00465F1A" w:rsidRDefault="00AC48D4" w:rsidP="00465F1A">
            <w:pPr>
              <w:pStyle w:val="TableBody"/>
              <w:jc w:val="both"/>
              <w:rPr>
                <w:rFonts w:ascii="Cambria" w:eastAsia="MS ??" w:hAnsi="Cambria"/>
                <w:vertAlign w:val="subscript"/>
                <w:lang w:eastAsia="ja-JP"/>
              </w:rPr>
            </w:pPr>
            <w:r w:rsidRPr="00465F1A">
              <w:rPr>
                <w:rFonts w:ascii="Cambria" w:eastAsia="MS ??" w:hAnsi="Cambria"/>
                <w:lang w:eastAsia="ja-JP"/>
              </w:rPr>
              <w:t>1800-1850</w:t>
            </w:r>
          </w:p>
        </w:tc>
        <w:tc>
          <w:tcPr>
            <w:tcW w:w="0" w:type="auto"/>
            <w:tcBorders>
              <w:top w:val="single" w:sz="4" w:space="0" w:color="auto"/>
            </w:tcBorders>
            <w:shd w:val="clear" w:color="auto" w:fill="auto"/>
          </w:tcPr>
          <w:p w14:paraId="79D3CE08" w14:textId="77777777" w:rsidR="00AC48D4" w:rsidRPr="00465F1A" w:rsidRDefault="00AC48D4" w:rsidP="00AC48D4">
            <w:pPr>
              <w:pStyle w:val="TableBody"/>
              <w:rPr>
                <w:rFonts w:ascii="Cambria" w:eastAsia="MS ??" w:hAnsi="Cambria"/>
                <w:lang w:eastAsia="ja-JP"/>
              </w:rPr>
            </w:pPr>
            <w:r w:rsidRPr="00465F1A">
              <w:rPr>
                <w:rFonts w:ascii="Cambria" w:eastAsia="MS ??" w:hAnsi="Cambria"/>
                <w:lang w:eastAsia="ja-JP"/>
              </w:rPr>
              <w:t>0.73</w:t>
            </w:r>
            <w:r w:rsidR="00F236F4">
              <w:rPr>
                <w:rFonts w:ascii="Cambria" w:eastAsia="MS ??" w:hAnsi="Cambria"/>
                <w:lang w:eastAsia="ja-JP"/>
              </w:rPr>
              <w:t>*</w:t>
            </w:r>
          </w:p>
        </w:tc>
        <w:tc>
          <w:tcPr>
            <w:tcW w:w="2274" w:type="dxa"/>
            <w:tcBorders>
              <w:top w:val="single" w:sz="4" w:space="0" w:color="auto"/>
            </w:tcBorders>
            <w:shd w:val="clear" w:color="auto" w:fill="auto"/>
          </w:tcPr>
          <w:p w14:paraId="4D93F002" w14:textId="77777777" w:rsidR="00AC48D4" w:rsidRPr="00465F1A" w:rsidRDefault="00AC48D4" w:rsidP="00AC48D4">
            <w:pPr>
              <w:pStyle w:val="TableBody"/>
              <w:rPr>
                <w:rFonts w:ascii="Cambria" w:eastAsia="MS ??" w:hAnsi="Cambria"/>
                <w:lang w:eastAsia="ja-JP"/>
              </w:rPr>
            </w:pPr>
            <w:r w:rsidRPr="00465F1A">
              <w:rPr>
                <w:rFonts w:ascii="Cambria" w:eastAsia="MS ??" w:hAnsi="Cambria"/>
                <w:lang w:eastAsia="ja-JP"/>
              </w:rPr>
              <w:t>0.74</w:t>
            </w:r>
            <w:r w:rsidR="00F236F4">
              <w:rPr>
                <w:rFonts w:ascii="Cambria" w:eastAsia="MS ??" w:hAnsi="Cambria"/>
                <w:lang w:eastAsia="ja-JP"/>
              </w:rPr>
              <w:t>*</w:t>
            </w:r>
          </w:p>
        </w:tc>
        <w:tc>
          <w:tcPr>
            <w:tcW w:w="2274" w:type="dxa"/>
            <w:tcBorders>
              <w:top w:val="single" w:sz="4" w:space="0" w:color="auto"/>
            </w:tcBorders>
            <w:shd w:val="clear" w:color="auto" w:fill="auto"/>
          </w:tcPr>
          <w:p w14:paraId="3F6B542B" w14:textId="77777777" w:rsidR="00AC48D4" w:rsidRPr="00465F1A" w:rsidRDefault="00AC48D4" w:rsidP="00AC48D4">
            <w:pPr>
              <w:pStyle w:val="TableBody"/>
              <w:rPr>
                <w:rFonts w:ascii="Cambria" w:eastAsia="MS ??" w:hAnsi="Cambria"/>
                <w:lang w:eastAsia="ja-JP"/>
              </w:rPr>
            </w:pPr>
            <w:r w:rsidRPr="00465F1A">
              <w:rPr>
                <w:rFonts w:ascii="Cambria" w:eastAsia="MS ??" w:hAnsi="Cambria"/>
                <w:lang w:eastAsia="ja-JP"/>
              </w:rPr>
              <w:t>YES</w:t>
            </w:r>
          </w:p>
        </w:tc>
      </w:tr>
      <w:tr w:rsidR="00AC48D4" w:rsidRPr="00535A4C" w14:paraId="39D3BFD6" w14:textId="77777777" w:rsidTr="007B26A3">
        <w:trPr>
          <w:trHeight w:val="579"/>
          <w:jc w:val="center"/>
        </w:trPr>
        <w:tc>
          <w:tcPr>
            <w:tcW w:w="0" w:type="auto"/>
            <w:shd w:val="clear" w:color="auto" w:fill="auto"/>
          </w:tcPr>
          <w:p w14:paraId="02665539" w14:textId="77777777" w:rsidR="00AC48D4" w:rsidRPr="00465F1A" w:rsidRDefault="00AC48D4" w:rsidP="00465F1A">
            <w:pPr>
              <w:pStyle w:val="TableBody"/>
              <w:jc w:val="both"/>
              <w:rPr>
                <w:rFonts w:ascii="Cambria" w:eastAsia="MS ??" w:hAnsi="Cambria"/>
                <w:lang w:eastAsia="ja-JP"/>
              </w:rPr>
            </w:pPr>
            <w:r w:rsidRPr="00465F1A">
              <w:rPr>
                <w:rFonts w:ascii="Cambria" w:eastAsia="MS ??" w:hAnsi="Cambria"/>
                <w:lang w:eastAsia="ja-JP"/>
              </w:rPr>
              <w:t>1850-1900</w:t>
            </w:r>
          </w:p>
        </w:tc>
        <w:tc>
          <w:tcPr>
            <w:tcW w:w="0" w:type="auto"/>
            <w:shd w:val="clear" w:color="auto" w:fill="auto"/>
          </w:tcPr>
          <w:p w14:paraId="2AE02DF2" w14:textId="77777777" w:rsidR="00AC48D4" w:rsidRPr="00465F1A" w:rsidRDefault="00AC48D4" w:rsidP="00AC48D4">
            <w:pPr>
              <w:pStyle w:val="TableBody"/>
              <w:rPr>
                <w:rFonts w:ascii="Cambria" w:eastAsia="MS ??" w:hAnsi="Cambria"/>
                <w:lang w:eastAsia="ja-JP"/>
              </w:rPr>
            </w:pPr>
            <w:r w:rsidRPr="00465F1A">
              <w:rPr>
                <w:rFonts w:ascii="Cambria" w:eastAsia="MS ??" w:hAnsi="Cambria"/>
                <w:lang w:eastAsia="ja-JP"/>
              </w:rPr>
              <w:t>0.79</w:t>
            </w:r>
            <w:r w:rsidR="00F236F4">
              <w:rPr>
                <w:rFonts w:ascii="Cambria" w:eastAsia="MS ??" w:hAnsi="Cambria"/>
                <w:lang w:eastAsia="ja-JP"/>
              </w:rPr>
              <w:t>*</w:t>
            </w:r>
          </w:p>
        </w:tc>
        <w:tc>
          <w:tcPr>
            <w:tcW w:w="2274" w:type="dxa"/>
            <w:shd w:val="clear" w:color="auto" w:fill="auto"/>
          </w:tcPr>
          <w:p w14:paraId="754F6645" w14:textId="77777777" w:rsidR="00AC48D4" w:rsidRPr="00465F1A" w:rsidRDefault="00AC48D4" w:rsidP="00AC48D4">
            <w:pPr>
              <w:pStyle w:val="TableBody"/>
              <w:rPr>
                <w:rFonts w:ascii="Cambria" w:eastAsia="MS ??" w:hAnsi="Cambria"/>
                <w:lang w:eastAsia="ja-JP"/>
              </w:rPr>
            </w:pPr>
            <w:r w:rsidRPr="00465F1A">
              <w:rPr>
                <w:rFonts w:ascii="Cambria" w:eastAsia="MS ??" w:hAnsi="Cambria"/>
                <w:lang w:eastAsia="ja-JP"/>
              </w:rPr>
              <w:t>0.80</w:t>
            </w:r>
            <w:r w:rsidR="00F236F4">
              <w:rPr>
                <w:rFonts w:ascii="Cambria" w:eastAsia="MS ??" w:hAnsi="Cambria"/>
                <w:lang w:eastAsia="ja-JP"/>
              </w:rPr>
              <w:t>*</w:t>
            </w:r>
          </w:p>
        </w:tc>
        <w:tc>
          <w:tcPr>
            <w:tcW w:w="2274" w:type="dxa"/>
            <w:shd w:val="clear" w:color="auto" w:fill="auto"/>
          </w:tcPr>
          <w:p w14:paraId="02134F3E" w14:textId="77777777" w:rsidR="00AC48D4" w:rsidRPr="00465F1A" w:rsidRDefault="00AC48D4" w:rsidP="00AC48D4">
            <w:pPr>
              <w:pStyle w:val="TableBody"/>
              <w:rPr>
                <w:rFonts w:ascii="Cambria" w:eastAsia="MS ??" w:hAnsi="Cambria"/>
                <w:lang w:eastAsia="ja-JP"/>
              </w:rPr>
            </w:pPr>
            <w:r w:rsidRPr="00465F1A">
              <w:rPr>
                <w:rFonts w:ascii="Cambria" w:eastAsia="MS ??" w:hAnsi="Cambria"/>
                <w:lang w:eastAsia="ja-JP"/>
              </w:rPr>
              <w:t>YES</w:t>
            </w:r>
          </w:p>
        </w:tc>
      </w:tr>
      <w:tr w:rsidR="00AC48D4" w:rsidRPr="00535A4C" w14:paraId="1DEEBFBB" w14:textId="77777777" w:rsidTr="007B26A3">
        <w:trPr>
          <w:trHeight w:val="568"/>
          <w:jc w:val="center"/>
        </w:trPr>
        <w:tc>
          <w:tcPr>
            <w:tcW w:w="0" w:type="auto"/>
            <w:shd w:val="clear" w:color="auto" w:fill="auto"/>
          </w:tcPr>
          <w:p w14:paraId="0B734512" w14:textId="77777777" w:rsidR="00AC48D4" w:rsidRPr="00465F1A" w:rsidRDefault="00AC48D4" w:rsidP="00465F1A">
            <w:pPr>
              <w:pStyle w:val="TableBody"/>
              <w:jc w:val="both"/>
              <w:rPr>
                <w:rFonts w:ascii="Cambria" w:eastAsia="MS ??" w:hAnsi="Cambria"/>
                <w:lang w:eastAsia="ja-JP"/>
              </w:rPr>
            </w:pPr>
            <w:r w:rsidRPr="00465F1A">
              <w:rPr>
                <w:rFonts w:ascii="Cambria" w:eastAsia="MS ??" w:hAnsi="Cambria"/>
                <w:lang w:eastAsia="ja-JP"/>
              </w:rPr>
              <w:t>1900-1950</w:t>
            </w:r>
          </w:p>
        </w:tc>
        <w:tc>
          <w:tcPr>
            <w:tcW w:w="0" w:type="auto"/>
            <w:shd w:val="clear" w:color="auto" w:fill="auto"/>
          </w:tcPr>
          <w:p w14:paraId="602D833A" w14:textId="77777777" w:rsidR="00AC48D4" w:rsidRPr="00465F1A" w:rsidRDefault="00AC48D4" w:rsidP="00AC48D4">
            <w:pPr>
              <w:pStyle w:val="TableBody"/>
              <w:rPr>
                <w:rFonts w:ascii="Cambria" w:eastAsia="MS ??" w:hAnsi="Cambria"/>
                <w:lang w:eastAsia="ja-JP"/>
              </w:rPr>
            </w:pPr>
            <w:r w:rsidRPr="00465F1A">
              <w:rPr>
                <w:rFonts w:ascii="Cambria" w:eastAsia="MS ??" w:hAnsi="Cambria"/>
                <w:lang w:eastAsia="ja-JP"/>
              </w:rPr>
              <w:t>0.11</w:t>
            </w:r>
            <w:r w:rsidR="00F236F4">
              <w:rPr>
                <w:rFonts w:ascii="Cambria" w:eastAsia="MS ??" w:hAnsi="Cambria"/>
                <w:lang w:eastAsia="ja-JP"/>
              </w:rPr>
              <w:t>*</w:t>
            </w:r>
          </w:p>
        </w:tc>
        <w:tc>
          <w:tcPr>
            <w:tcW w:w="2274" w:type="dxa"/>
            <w:shd w:val="clear" w:color="auto" w:fill="auto"/>
          </w:tcPr>
          <w:p w14:paraId="4D10310B" w14:textId="77777777" w:rsidR="00AC48D4" w:rsidRPr="00465F1A" w:rsidRDefault="00AC48D4" w:rsidP="00AC48D4">
            <w:pPr>
              <w:pStyle w:val="TableBody"/>
              <w:rPr>
                <w:rFonts w:ascii="Cambria" w:eastAsia="MS ??" w:hAnsi="Cambria"/>
                <w:lang w:eastAsia="ja-JP"/>
              </w:rPr>
            </w:pPr>
            <w:r w:rsidRPr="00465F1A">
              <w:rPr>
                <w:rFonts w:ascii="Cambria" w:eastAsia="MS ??" w:hAnsi="Cambria"/>
                <w:lang w:eastAsia="ja-JP"/>
              </w:rPr>
              <w:t>0.23</w:t>
            </w:r>
            <w:r w:rsidR="00F236F4">
              <w:rPr>
                <w:rFonts w:ascii="Cambria" w:eastAsia="MS ??" w:hAnsi="Cambria"/>
                <w:lang w:eastAsia="ja-JP"/>
              </w:rPr>
              <w:t>*</w:t>
            </w:r>
          </w:p>
        </w:tc>
        <w:tc>
          <w:tcPr>
            <w:tcW w:w="2274" w:type="dxa"/>
            <w:shd w:val="clear" w:color="auto" w:fill="auto"/>
          </w:tcPr>
          <w:p w14:paraId="01365F32" w14:textId="77777777" w:rsidR="00AC48D4" w:rsidRPr="00465F1A" w:rsidRDefault="00AC48D4" w:rsidP="00AC48D4">
            <w:pPr>
              <w:pStyle w:val="TableBody"/>
              <w:rPr>
                <w:rFonts w:ascii="Cambria" w:eastAsia="MS ??" w:hAnsi="Cambria"/>
                <w:lang w:eastAsia="ja-JP"/>
              </w:rPr>
            </w:pPr>
            <w:r w:rsidRPr="00465F1A">
              <w:rPr>
                <w:rFonts w:ascii="Cambria" w:eastAsia="MS ??" w:hAnsi="Cambria"/>
                <w:lang w:eastAsia="ja-JP"/>
              </w:rPr>
              <w:t>YES</w:t>
            </w:r>
          </w:p>
        </w:tc>
      </w:tr>
      <w:tr w:rsidR="00AC48D4" w:rsidRPr="00535A4C" w14:paraId="064404F3" w14:textId="77777777" w:rsidTr="007B26A3">
        <w:trPr>
          <w:trHeight w:val="568"/>
          <w:jc w:val="center"/>
        </w:trPr>
        <w:tc>
          <w:tcPr>
            <w:tcW w:w="0" w:type="auto"/>
            <w:shd w:val="clear" w:color="auto" w:fill="auto"/>
          </w:tcPr>
          <w:p w14:paraId="6B3E361C" w14:textId="77777777" w:rsidR="00AC48D4" w:rsidRPr="00465F1A" w:rsidRDefault="00AC48D4" w:rsidP="00465F1A">
            <w:pPr>
              <w:pStyle w:val="TableBody"/>
              <w:jc w:val="both"/>
              <w:rPr>
                <w:rFonts w:ascii="Cambria" w:eastAsia="MS ??" w:hAnsi="Cambria"/>
                <w:lang w:eastAsia="ja-JP"/>
              </w:rPr>
            </w:pPr>
            <w:r w:rsidRPr="00465F1A">
              <w:rPr>
                <w:rFonts w:ascii="Cambria" w:eastAsia="MS ??" w:hAnsi="Cambria"/>
                <w:lang w:eastAsia="ja-JP"/>
              </w:rPr>
              <w:t>1950-2012</w:t>
            </w:r>
          </w:p>
        </w:tc>
        <w:tc>
          <w:tcPr>
            <w:tcW w:w="0" w:type="auto"/>
            <w:shd w:val="clear" w:color="auto" w:fill="auto"/>
          </w:tcPr>
          <w:p w14:paraId="4CAEB8F5" w14:textId="77777777" w:rsidR="00AC48D4" w:rsidRPr="00465F1A" w:rsidRDefault="00AC48D4" w:rsidP="00AC48D4">
            <w:pPr>
              <w:pStyle w:val="TableBody"/>
              <w:rPr>
                <w:rFonts w:ascii="Cambria" w:eastAsia="MS ??" w:hAnsi="Cambria"/>
                <w:lang w:eastAsia="ja-JP"/>
              </w:rPr>
            </w:pPr>
            <w:r w:rsidRPr="00465F1A">
              <w:rPr>
                <w:rFonts w:ascii="Cambria" w:eastAsia="MS ??" w:hAnsi="Cambria"/>
                <w:lang w:eastAsia="ja-JP"/>
              </w:rPr>
              <w:t>-0.12</w:t>
            </w:r>
            <w:r w:rsidR="00F236F4">
              <w:rPr>
                <w:rFonts w:ascii="Cambria" w:eastAsia="MS ??" w:hAnsi="Cambria"/>
                <w:lang w:eastAsia="ja-JP"/>
              </w:rPr>
              <w:t>*</w:t>
            </w:r>
          </w:p>
        </w:tc>
        <w:tc>
          <w:tcPr>
            <w:tcW w:w="2274" w:type="dxa"/>
            <w:shd w:val="clear" w:color="auto" w:fill="auto"/>
          </w:tcPr>
          <w:p w14:paraId="65FA7D12" w14:textId="77777777" w:rsidR="00AC48D4" w:rsidRPr="00465F1A" w:rsidRDefault="00AC48D4" w:rsidP="00AC48D4">
            <w:pPr>
              <w:pStyle w:val="TableBody"/>
              <w:rPr>
                <w:rFonts w:ascii="Cambria" w:eastAsia="MS ??" w:hAnsi="Cambria"/>
                <w:lang w:eastAsia="ja-JP"/>
              </w:rPr>
            </w:pPr>
            <w:r w:rsidRPr="00465F1A">
              <w:rPr>
                <w:rFonts w:ascii="Cambria" w:eastAsia="MS ??" w:hAnsi="Cambria"/>
                <w:lang w:eastAsia="ja-JP"/>
              </w:rPr>
              <w:t>0.09</w:t>
            </w:r>
            <w:r w:rsidR="00F236F4">
              <w:rPr>
                <w:rFonts w:ascii="Cambria" w:eastAsia="MS ??" w:hAnsi="Cambria"/>
                <w:lang w:eastAsia="ja-JP"/>
              </w:rPr>
              <w:t>*</w:t>
            </w:r>
          </w:p>
        </w:tc>
        <w:tc>
          <w:tcPr>
            <w:tcW w:w="2274" w:type="dxa"/>
            <w:shd w:val="clear" w:color="auto" w:fill="auto"/>
          </w:tcPr>
          <w:p w14:paraId="559D1539" w14:textId="77777777" w:rsidR="00AC48D4" w:rsidRPr="00465F1A" w:rsidRDefault="00AC48D4" w:rsidP="00AC48D4">
            <w:pPr>
              <w:pStyle w:val="TableBody"/>
              <w:rPr>
                <w:rFonts w:ascii="Cambria" w:eastAsia="MS ??" w:hAnsi="Cambria"/>
                <w:lang w:eastAsia="ja-JP"/>
              </w:rPr>
            </w:pPr>
            <w:r w:rsidRPr="00465F1A">
              <w:rPr>
                <w:rFonts w:ascii="Cambria" w:eastAsia="MS ??" w:hAnsi="Cambria"/>
                <w:lang w:eastAsia="ja-JP"/>
              </w:rPr>
              <w:t>Until 2009 and after NO</w:t>
            </w:r>
          </w:p>
        </w:tc>
      </w:tr>
    </w:tbl>
    <w:p w14:paraId="7A7E9E90" w14:textId="77777777" w:rsidR="00F236F4" w:rsidRPr="00C84D63" w:rsidRDefault="00C84D63" w:rsidP="00AC48D4">
      <w:pPr>
        <w:pStyle w:val="BodyText"/>
        <w:ind w:firstLine="0"/>
        <w:jc w:val="both"/>
        <w:rPr>
          <w:sz w:val="22"/>
          <w:szCs w:val="22"/>
          <w:lang w:val="en-GB"/>
        </w:rPr>
      </w:pPr>
      <w:r w:rsidRPr="00C84D63">
        <w:rPr>
          <w:sz w:val="22"/>
          <w:szCs w:val="22"/>
          <w:lang w:val="en-GB"/>
        </w:rPr>
        <w:t xml:space="preserve">*At the </w:t>
      </w:r>
      <w:r w:rsidR="00F236F4" w:rsidRPr="00C84D63">
        <w:rPr>
          <w:sz w:val="22"/>
          <w:szCs w:val="22"/>
          <w:lang w:val="en-GB"/>
        </w:rPr>
        <w:t xml:space="preserve">5% </w:t>
      </w:r>
      <w:r w:rsidRPr="00C84D63">
        <w:rPr>
          <w:sz w:val="22"/>
          <w:szCs w:val="22"/>
          <w:lang w:val="en-GB"/>
        </w:rPr>
        <w:t xml:space="preserve">confidence </w:t>
      </w:r>
      <w:r w:rsidR="00F236F4" w:rsidRPr="00C84D63">
        <w:rPr>
          <w:sz w:val="22"/>
          <w:szCs w:val="22"/>
          <w:lang w:val="en-GB"/>
        </w:rPr>
        <w:t>level</w:t>
      </w:r>
    </w:p>
    <w:p w14:paraId="6695F4AB" w14:textId="77777777" w:rsidR="00AC48D4" w:rsidRPr="00535A4C" w:rsidRDefault="00AC48D4" w:rsidP="00AC48D4">
      <w:pPr>
        <w:pStyle w:val="BodyText"/>
        <w:ind w:firstLine="0"/>
        <w:jc w:val="both"/>
        <w:rPr>
          <w:sz w:val="22"/>
          <w:szCs w:val="22"/>
          <w:lang w:val="en-GB"/>
        </w:rPr>
      </w:pPr>
      <w:r w:rsidRPr="00535A4C">
        <w:rPr>
          <w:sz w:val="22"/>
          <w:szCs w:val="22"/>
          <w:lang w:val="en-GB"/>
        </w:rPr>
        <w:t>Source: Author’s calculation</w:t>
      </w:r>
    </w:p>
    <w:p w14:paraId="21D835CA" w14:textId="77777777" w:rsidR="00E21510" w:rsidRPr="00E21510" w:rsidRDefault="00E21510" w:rsidP="00E21510">
      <w:pPr>
        <w:pStyle w:val="BodyText"/>
        <w:jc w:val="both"/>
        <w:rPr>
          <w:lang w:val="en-GB"/>
        </w:rPr>
      </w:pPr>
    </w:p>
    <w:p w14:paraId="7E944EE9" w14:textId="77777777" w:rsidR="00AB6A88" w:rsidRPr="00D07445" w:rsidRDefault="00DE4822" w:rsidP="00D07445">
      <w:pPr>
        <w:pStyle w:val="BodyText"/>
        <w:jc w:val="both"/>
        <w:rPr>
          <w:lang w:val="en-GB"/>
        </w:rPr>
      </w:pPr>
      <w:r>
        <w:rPr>
          <w:lang w:val="en-GB"/>
        </w:rPr>
        <w:lastRenderedPageBreak/>
        <w:t xml:space="preserve">Gibson’s </w:t>
      </w:r>
      <w:r w:rsidR="00E21510" w:rsidRPr="00E21510">
        <w:rPr>
          <w:lang w:val="en-GB"/>
        </w:rPr>
        <w:t xml:space="preserve">paradox </w:t>
      </w:r>
      <w:r w:rsidR="00284C8F">
        <w:rPr>
          <w:lang w:val="en-GB"/>
        </w:rPr>
        <w:t>i</w:t>
      </w:r>
      <w:r>
        <w:rPr>
          <w:lang w:val="en-GB"/>
        </w:rPr>
        <w:t>s clearly observable in t</w:t>
      </w:r>
      <w:r w:rsidR="00E21510" w:rsidRPr="00E21510">
        <w:rPr>
          <w:lang w:val="en-GB"/>
        </w:rPr>
        <w:t xml:space="preserve">he Netherlands </w:t>
      </w:r>
      <w:r w:rsidR="00D07445">
        <w:rPr>
          <w:lang w:val="en-GB"/>
        </w:rPr>
        <w:t xml:space="preserve">from the beginning of the </w:t>
      </w:r>
      <w:r w:rsidR="00E21510" w:rsidRPr="00E21510">
        <w:rPr>
          <w:lang w:val="en-GB"/>
        </w:rPr>
        <w:t xml:space="preserve">19th </w:t>
      </w:r>
      <w:r w:rsidR="00D07445">
        <w:rPr>
          <w:lang w:val="en-GB"/>
        </w:rPr>
        <w:t>century till the 1970s. Then it started</w:t>
      </w:r>
      <w:r w:rsidR="00E21510" w:rsidRPr="00E21510">
        <w:rPr>
          <w:lang w:val="en-GB"/>
        </w:rPr>
        <w:t xml:space="preserve"> </w:t>
      </w:r>
      <w:r w:rsidR="00D07445">
        <w:rPr>
          <w:lang w:val="en-GB"/>
        </w:rPr>
        <w:t>becoming less important, completely</w:t>
      </w:r>
      <w:r w:rsidR="00E21510" w:rsidRPr="00E21510">
        <w:rPr>
          <w:lang w:val="en-GB"/>
        </w:rPr>
        <w:t xml:space="preserve"> disappearing (</w:t>
      </w:r>
      <w:r w:rsidR="00D07445">
        <w:rPr>
          <w:lang w:val="en-GB"/>
        </w:rPr>
        <w:t xml:space="preserve">with the </w:t>
      </w:r>
      <w:r w:rsidR="00E21510" w:rsidRPr="00E21510">
        <w:rPr>
          <w:lang w:val="en-GB"/>
        </w:rPr>
        <w:t xml:space="preserve">correlation between LR and CPI </w:t>
      </w:r>
      <w:r w:rsidR="00D07445">
        <w:rPr>
          <w:lang w:val="en-GB"/>
        </w:rPr>
        <w:t>becomi</w:t>
      </w:r>
      <w:r w:rsidR="00E21510" w:rsidRPr="00E21510">
        <w:rPr>
          <w:lang w:val="en-GB"/>
        </w:rPr>
        <w:t xml:space="preserve">ng negative) after 2008. </w:t>
      </w:r>
      <w:r w:rsidR="00D07445">
        <w:rPr>
          <w:lang w:val="en-GB"/>
        </w:rPr>
        <w:t xml:space="preserve">The correlation coefficients for different sub-samples (see Table 1) indicate that it was present in various sub-periods, and therefore the significant correlation coefficient is not just due to the big size of the sample.  </w:t>
      </w:r>
    </w:p>
    <w:p w14:paraId="1AA43A41" w14:textId="77777777" w:rsidR="00AB6A88" w:rsidRPr="00535A4C" w:rsidRDefault="000917AF" w:rsidP="00AC48D4">
      <w:pPr>
        <w:pStyle w:val="Heading2"/>
      </w:pPr>
      <w:proofErr w:type="gramStart"/>
      <w:r w:rsidRPr="00535A4C">
        <w:t>2.</w:t>
      </w:r>
      <w:r w:rsidR="00D07445">
        <w:t xml:space="preserve">3 </w:t>
      </w:r>
      <w:r w:rsidRPr="00535A4C">
        <w:t xml:space="preserve"> </w:t>
      </w:r>
      <w:r w:rsidR="005B4334">
        <w:t>Statistical</w:t>
      </w:r>
      <w:proofErr w:type="gramEnd"/>
      <w:r w:rsidR="005B4334">
        <w:t xml:space="preserve"> framework</w:t>
      </w:r>
    </w:p>
    <w:p w14:paraId="295BA1F6" w14:textId="77777777" w:rsidR="00AB6A88" w:rsidRPr="00535A4C" w:rsidRDefault="00AB6A88" w:rsidP="0024798F">
      <w:pPr>
        <w:pStyle w:val="BodyText"/>
        <w:ind w:firstLine="0"/>
        <w:jc w:val="both"/>
        <w:rPr>
          <w:lang w:val="en-GB"/>
        </w:rPr>
      </w:pPr>
      <w:r w:rsidRPr="00535A4C">
        <w:rPr>
          <w:lang w:val="en-GB"/>
        </w:rPr>
        <w:t xml:space="preserve">Spectral techniques are used in this study to </w:t>
      </w:r>
      <w:r w:rsidR="000224E0" w:rsidRPr="00535A4C">
        <w:rPr>
          <w:lang w:val="en-GB"/>
        </w:rPr>
        <w:t>examin</w:t>
      </w:r>
      <w:r w:rsidR="005B4334">
        <w:rPr>
          <w:lang w:val="en-GB"/>
        </w:rPr>
        <w:t xml:space="preserve">e the </w:t>
      </w:r>
      <w:r w:rsidRPr="00535A4C">
        <w:rPr>
          <w:lang w:val="en-GB"/>
        </w:rPr>
        <w:t xml:space="preserve">correlation between LR and CPI. </w:t>
      </w:r>
      <w:r w:rsidR="005B4334">
        <w:rPr>
          <w:lang w:val="en-GB"/>
        </w:rPr>
        <w:t xml:space="preserve">A </w:t>
      </w:r>
      <w:r w:rsidRPr="00535A4C">
        <w:rPr>
          <w:lang w:val="en-GB"/>
        </w:rPr>
        <w:t xml:space="preserve">moving </w:t>
      </w:r>
      <w:r w:rsidR="005B4334">
        <w:rPr>
          <w:lang w:val="en-GB"/>
        </w:rPr>
        <w:t xml:space="preserve">window correlation coefficient </w:t>
      </w:r>
      <w:r w:rsidRPr="00535A4C">
        <w:rPr>
          <w:lang w:val="en-GB"/>
        </w:rPr>
        <w:t xml:space="preserve">is calculated </w:t>
      </w:r>
      <w:r w:rsidR="005B4334">
        <w:rPr>
          <w:lang w:val="en-GB"/>
        </w:rPr>
        <w:t>to e</w:t>
      </w:r>
      <w:r w:rsidR="00704AF2">
        <w:rPr>
          <w:lang w:val="en-GB"/>
        </w:rPr>
        <w:t xml:space="preserve">stablish </w:t>
      </w:r>
      <w:r w:rsidR="005B4334">
        <w:rPr>
          <w:lang w:val="en-GB"/>
        </w:rPr>
        <w:t>whether or not there is a Gib</w:t>
      </w:r>
      <w:r w:rsidRPr="00535A4C">
        <w:rPr>
          <w:lang w:val="en-GB"/>
        </w:rPr>
        <w:t>son</w:t>
      </w:r>
      <w:r w:rsidR="005B4334">
        <w:rPr>
          <w:lang w:val="en-GB"/>
        </w:rPr>
        <w:t>’s para</w:t>
      </w:r>
      <w:r w:rsidR="00704AF2">
        <w:rPr>
          <w:lang w:val="en-GB"/>
        </w:rPr>
        <w:t xml:space="preserve">dox in the Dutch economy, as </w:t>
      </w:r>
      <w:r w:rsidR="005B4334">
        <w:rPr>
          <w:lang w:val="en-GB"/>
        </w:rPr>
        <w:t xml:space="preserve">a (significant) positive </w:t>
      </w:r>
      <w:r w:rsidRPr="00535A4C">
        <w:rPr>
          <w:lang w:val="en-GB"/>
        </w:rPr>
        <w:t>coefficient</w:t>
      </w:r>
      <w:r w:rsidR="00704AF2">
        <w:rPr>
          <w:lang w:val="en-GB"/>
        </w:rPr>
        <w:t xml:space="preserve"> would indicate</w:t>
      </w:r>
      <w:r w:rsidRPr="00535A4C">
        <w:rPr>
          <w:lang w:val="en-GB"/>
        </w:rPr>
        <w:t xml:space="preserve">. Spectral analysis </w:t>
      </w:r>
      <w:r w:rsidR="007C38B7">
        <w:rPr>
          <w:lang w:val="en-GB"/>
        </w:rPr>
        <w:t xml:space="preserve">allows </w:t>
      </w:r>
      <w:proofErr w:type="gramStart"/>
      <w:r w:rsidRPr="00535A4C">
        <w:rPr>
          <w:lang w:val="en-GB"/>
        </w:rPr>
        <w:t>to decompose</w:t>
      </w:r>
      <w:proofErr w:type="gramEnd"/>
      <w:r w:rsidRPr="00535A4C">
        <w:rPr>
          <w:lang w:val="en-GB"/>
        </w:rPr>
        <w:t xml:space="preserve"> </w:t>
      </w:r>
      <w:r w:rsidR="007C38B7">
        <w:rPr>
          <w:lang w:val="en-GB"/>
        </w:rPr>
        <w:t xml:space="preserve">the </w:t>
      </w:r>
      <w:r w:rsidRPr="00535A4C">
        <w:rPr>
          <w:lang w:val="en-GB"/>
        </w:rPr>
        <w:t>LR serie</w:t>
      </w:r>
      <w:r w:rsidR="00704AF2">
        <w:rPr>
          <w:lang w:val="en-GB"/>
        </w:rPr>
        <w:t>s into different frequency band</w:t>
      </w:r>
      <w:r w:rsidRPr="00535A4C">
        <w:rPr>
          <w:lang w:val="en-GB"/>
        </w:rPr>
        <w:t xml:space="preserve">s. </w:t>
      </w:r>
      <w:r w:rsidR="007C38B7">
        <w:rPr>
          <w:lang w:val="en-GB"/>
        </w:rPr>
        <w:t>The es</w:t>
      </w:r>
      <w:r w:rsidRPr="00535A4C">
        <w:rPr>
          <w:lang w:val="en-GB"/>
        </w:rPr>
        <w:t>timated spectrum shows peri</w:t>
      </w:r>
      <w:r w:rsidR="00704AF2">
        <w:rPr>
          <w:lang w:val="en-GB"/>
        </w:rPr>
        <w:t xml:space="preserve">odicity and oscillations in </w:t>
      </w:r>
      <w:r w:rsidRPr="00535A4C">
        <w:rPr>
          <w:lang w:val="en-GB"/>
        </w:rPr>
        <w:t>long-term bond yields. Three differen</w:t>
      </w:r>
      <w:r w:rsidR="007C38B7">
        <w:rPr>
          <w:lang w:val="en-GB"/>
        </w:rPr>
        <w:t xml:space="preserve">t spectral measures </w:t>
      </w:r>
      <w:r w:rsidRPr="00535A4C">
        <w:rPr>
          <w:lang w:val="en-GB"/>
        </w:rPr>
        <w:t>are used</w:t>
      </w:r>
      <w:r w:rsidR="007C38B7">
        <w:rPr>
          <w:lang w:val="en-GB"/>
        </w:rPr>
        <w:t xml:space="preserve"> here</w:t>
      </w:r>
      <w:r w:rsidRPr="00535A4C">
        <w:rPr>
          <w:lang w:val="en-GB"/>
        </w:rPr>
        <w:t>, na</w:t>
      </w:r>
      <w:r w:rsidR="00704AF2">
        <w:rPr>
          <w:lang w:val="en-GB"/>
        </w:rPr>
        <w:t>mely Squared Coherency</w:t>
      </w:r>
      <w:r w:rsidRPr="00535A4C">
        <w:rPr>
          <w:lang w:val="en-GB"/>
        </w:rPr>
        <w:t>, Gain and</w:t>
      </w:r>
      <w:r w:rsidR="00B672D2" w:rsidRPr="00535A4C">
        <w:rPr>
          <w:lang w:val="en-GB"/>
        </w:rPr>
        <w:t xml:space="preserve"> the</w:t>
      </w:r>
      <w:r w:rsidR="00704AF2">
        <w:rPr>
          <w:lang w:val="en-GB"/>
        </w:rPr>
        <w:t xml:space="preserve"> Phase spectrum</w:t>
      </w:r>
      <w:r w:rsidRPr="00535A4C">
        <w:rPr>
          <w:lang w:val="en-GB"/>
        </w:rPr>
        <w:t xml:space="preserve">.  </w:t>
      </w:r>
    </w:p>
    <w:p w14:paraId="3B6125BF" w14:textId="77777777" w:rsidR="00AB6A88" w:rsidRPr="00535A4C" w:rsidRDefault="007C38B7" w:rsidP="00E8204B">
      <w:pPr>
        <w:pStyle w:val="BodyText"/>
        <w:jc w:val="both"/>
        <w:rPr>
          <w:lang w:val="en-GB"/>
        </w:rPr>
      </w:pPr>
      <w:r>
        <w:rPr>
          <w:lang w:val="en-GB"/>
        </w:rPr>
        <w:t xml:space="preserve">The </w:t>
      </w:r>
      <w:r w:rsidR="00AB6A88" w:rsidRPr="00535A4C">
        <w:rPr>
          <w:lang w:val="en-GB"/>
        </w:rPr>
        <w:t xml:space="preserve">Coherency spectrum is </w:t>
      </w:r>
      <w:r>
        <w:rPr>
          <w:lang w:val="en-GB"/>
        </w:rPr>
        <w:t xml:space="preserve">calculated as </w:t>
      </w:r>
      <w:r w:rsidR="00AC48D4">
        <w:rPr>
          <w:lang w:val="en-GB"/>
        </w:rPr>
        <w:t xml:space="preserve">in </w:t>
      </w:r>
      <w:r w:rsidR="00AB6A88" w:rsidRPr="00535A4C">
        <w:rPr>
          <w:lang w:val="en-GB"/>
        </w:rPr>
        <w:fldChar w:fldCharType="begin"/>
      </w:r>
      <w:r w:rsidR="00C57097" w:rsidRPr="00535A4C">
        <w:rPr>
          <w:lang w:val="en-GB"/>
        </w:rPr>
        <w:instrText xml:space="preserve"> ADDIN PAPERS2_CITATIONS &lt;citation&gt;&lt;uuid&gt;26334468-8D20-4D37-B36B-71999AEFCAD4&lt;/uuid&gt;&lt;priority&gt;35&lt;/priority&gt;&lt;publications&gt;&lt;publication&gt;&lt;uuid&gt;E32C4606-6E0D-40C2-A5DB-737CF389CAFA&lt;/uuid&gt;&lt;publication_date&gt;99198100001200000000200000&lt;/publication_date&gt;&lt;title&gt;Spectral analysis and time series&lt;/title&gt;&lt;type&gt;400&lt;/type&gt;&lt;subtype&gt;400&lt;/subtype&gt;&lt;publisher&gt;Academic press&lt;/publisher&gt;&lt;authors&gt;&lt;author&gt;&lt;firstName&gt;Maurice&lt;/firstName&gt;&lt;middleNames&gt;Bertram&lt;/middleNames&gt;&lt;lastName&gt;Priestley&lt;/lastName&gt;&lt;/author&gt;&lt;/authors&gt;&lt;/publication&gt;&lt;/publications&gt;&lt;cites&gt;&lt;/cites&gt;&lt;/citation&gt;</w:instrText>
      </w:r>
      <w:r w:rsidR="00AB6A88" w:rsidRPr="00535A4C">
        <w:rPr>
          <w:lang w:val="en-GB"/>
        </w:rPr>
        <w:fldChar w:fldCharType="separate"/>
      </w:r>
      <w:r w:rsidR="00AB6A88" w:rsidRPr="00535A4C">
        <w:rPr>
          <w:lang w:val="en-GB"/>
        </w:rPr>
        <w:t>Priestley</w:t>
      </w:r>
      <w:r w:rsidR="00AC48D4">
        <w:rPr>
          <w:lang w:val="en-GB"/>
        </w:rPr>
        <w:t xml:space="preserve"> (</w:t>
      </w:r>
      <w:r w:rsidR="00AB6A88" w:rsidRPr="00535A4C">
        <w:rPr>
          <w:lang w:val="en-GB"/>
        </w:rPr>
        <w:t>1981)</w:t>
      </w:r>
      <w:r w:rsidR="00AB6A88" w:rsidRPr="00535A4C">
        <w:rPr>
          <w:lang w:val="en-GB"/>
        </w:rPr>
        <w:fldChar w:fldCharType="end"/>
      </w:r>
    </w:p>
    <w:p w14:paraId="18F1DFE3" w14:textId="77777777" w:rsidR="00AB6A88" w:rsidRPr="00535A4C" w:rsidRDefault="00AB6A88" w:rsidP="00660757">
      <w:pPr>
        <w:pStyle w:val="MTDisplayEquation"/>
        <w:tabs>
          <w:tab w:val="clear" w:pos="9360"/>
          <w:tab w:val="right" w:pos="9000"/>
        </w:tabs>
        <w:jc w:val="right"/>
        <w:rPr>
          <w:lang w:val="en-GB"/>
        </w:rPr>
      </w:pPr>
      <w:r w:rsidRPr="00535A4C">
        <w:rPr>
          <w:lang w:val="en-GB"/>
        </w:rPr>
        <w:tab/>
      </w:r>
      <w:r w:rsidR="00660757" w:rsidRPr="00535A4C">
        <w:rPr>
          <w:position w:val="-48"/>
          <w:lang w:val="en-GB"/>
        </w:rPr>
        <w:object w:dxaOrig="4580" w:dyaOrig="1020" w14:anchorId="3BF21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51pt" o:ole="">
            <v:imagedata r:id="rId10" o:title=""/>
          </v:shape>
          <o:OLEObject Type="Embed" ProgID="Equation.DSMT4" ShapeID="_x0000_i1025" DrawAspect="Content" ObjectID="_1464887295" r:id="rId11"/>
        </w:object>
      </w:r>
      <w:r w:rsidR="00997C86" w:rsidRPr="00535A4C">
        <w:rPr>
          <w:lang w:val="en-GB"/>
        </w:rPr>
        <w:t xml:space="preserve"> </w:t>
      </w:r>
      <w:r w:rsidR="00660757" w:rsidRPr="00535A4C">
        <w:rPr>
          <w:lang w:val="en-GB"/>
        </w:rPr>
        <w:tab/>
        <w:t xml:space="preserve">(1) </w:t>
      </w:r>
      <w:r w:rsidR="00660757" w:rsidRPr="00535A4C">
        <w:rPr>
          <w:lang w:val="en-GB"/>
        </w:rPr>
        <w:tab/>
      </w:r>
    </w:p>
    <w:p w14:paraId="1226D698" w14:textId="77777777" w:rsidR="00AB6A88" w:rsidRPr="00535A4C" w:rsidRDefault="00E47964" w:rsidP="00E8204B">
      <w:pPr>
        <w:pStyle w:val="BodyText"/>
        <w:jc w:val="both"/>
        <w:rPr>
          <w:lang w:val="en-GB"/>
        </w:rPr>
      </w:pPr>
      <w:proofErr w:type="gramStart"/>
      <w:r w:rsidRPr="00C84D63">
        <w:rPr>
          <w:lang w:val="en-GB"/>
        </w:rPr>
        <w:t>where</w:t>
      </w:r>
      <w:proofErr w:type="gramEnd"/>
      <w:r w:rsidRPr="00C84D63">
        <w:rPr>
          <w:lang w:val="en-GB"/>
        </w:rPr>
        <w:t xml:space="preserve"> </w:t>
      </w:r>
      <m:oMath>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w</m:t>
                </m:r>
              </m:e>
            </m:acc>
          </m:e>
          <m:sub>
            <m:r>
              <w:rPr>
                <w:rFonts w:ascii="Cambria Math" w:hAnsi="Cambria Math"/>
                <w:lang w:val="en-GB"/>
              </w:rPr>
              <m:t>ij</m:t>
            </m:r>
          </m:sub>
        </m:sSub>
      </m:oMath>
      <w:r w:rsidR="001A7544" w:rsidRPr="00C84D63">
        <w:rPr>
          <w:lang w:val="en-GB"/>
        </w:rPr>
        <w:t xml:space="preserve"> </w:t>
      </w:r>
      <w:r w:rsidR="004C58A0" w:rsidRPr="00C84D63">
        <w:rPr>
          <w:lang w:val="en-GB"/>
        </w:rPr>
        <w:t>is coherency at frequency</w:t>
      </w:r>
      <w:r w:rsidR="0050401A" w:rsidRPr="00C84D63">
        <w:rPr>
          <w:lang w:val="en-GB"/>
        </w:rPr>
        <w:t xml:space="preserve"> </w:t>
      </w:r>
      <m:oMath>
        <m:r>
          <w:rPr>
            <w:rFonts w:ascii="Cambria Math" w:hAnsi="Cambria Math"/>
            <w:lang w:val="en-GB"/>
          </w:rPr>
          <m:t>(ω)</m:t>
        </m:r>
      </m:oMath>
      <w:r w:rsidR="004C58A0" w:rsidRPr="00C84D63">
        <w:rPr>
          <w:lang w:val="en-GB"/>
        </w:rPr>
        <w:t xml:space="preserve">, </w:t>
      </w:r>
      <m:oMath>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c</m:t>
                </m:r>
              </m:e>
            </m:acc>
          </m:e>
          <m:sub>
            <m:r>
              <w:rPr>
                <w:rFonts w:ascii="Cambria Math" w:hAnsi="Cambria Math"/>
                <w:lang w:val="en-GB"/>
              </w:rPr>
              <m:t>ij</m:t>
            </m:r>
          </m:sub>
        </m:sSub>
        <m:r>
          <w:rPr>
            <w:rFonts w:ascii="Cambria Math" w:hAnsi="Cambria Math"/>
            <w:lang w:val="en-GB"/>
          </w:rPr>
          <m:t xml:space="preserve">(ω) </m:t>
        </m:r>
      </m:oMath>
      <w:r w:rsidR="001A7544" w:rsidRPr="00C84D63">
        <w:rPr>
          <w:lang w:val="en-GB"/>
        </w:rPr>
        <w:t>represent</w:t>
      </w:r>
      <w:r w:rsidR="00C84D63" w:rsidRPr="00C84D63">
        <w:rPr>
          <w:lang w:val="en-GB"/>
        </w:rPr>
        <w:t>s the</w:t>
      </w:r>
      <w:r w:rsidR="001A7544" w:rsidRPr="00C84D63">
        <w:rPr>
          <w:lang w:val="en-GB"/>
        </w:rPr>
        <w:t xml:space="preserve"> </w:t>
      </w:r>
      <w:r w:rsidR="004C58A0" w:rsidRPr="00C84D63">
        <w:rPr>
          <w:lang w:val="en-GB"/>
        </w:rPr>
        <w:t>co-sp</w:t>
      </w:r>
      <w:r w:rsidR="000863A3" w:rsidRPr="00C84D63">
        <w:rPr>
          <w:lang w:val="en-GB"/>
        </w:rPr>
        <w:t>ectrum</w:t>
      </w:r>
      <w:r w:rsidR="004C58A0" w:rsidRPr="00C84D63">
        <w:rPr>
          <w:lang w:val="en-GB"/>
        </w:rPr>
        <w:t xml:space="preserve"> and </w:t>
      </w:r>
      <m:oMath>
        <m:sSubSup>
          <m:sSubSupPr>
            <m:ctrlPr>
              <w:rPr>
                <w:rFonts w:ascii="Cambria Math" w:hAnsi="Cambria Math"/>
                <w:i/>
                <w:lang w:val="en-GB"/>
              </w:rPr>
            </m:ctrlPr>
          </m:sSubSupPr>
          <m:e>
            <m:acc>
              <m:accPr>
                <m:ctrlPr>
                  <w:rPr>
                    <w:rFonts w:ascii="Cambria Math" w:hAnsi="Cambria Math"/>
                    <w:i/>
                    <w:lang w:val="en-GB"/>
                  </w:rPr>
                </m:ctrlPr>
              </m:accPr>
              <m:e>
                <m:r>
                  <w:rPr>
                    <w:rFonts w:ascii="Cambria Math" w:hAnsi="Cambria Math"/>
                    <w:lang w:val="en-GB"/>
                  </w:rPr>
                  <m:t>q</m:t>
                </m:r>
              </m:e>
            </m:acc>
          </m:e>
          <m:sub>
            <m:r>
              <w:rPr>
                <w:rFonts w:ascii="Cambria Math" w:hAnsi="Cambria Math"/>
                <w:lang w:val="en-GB"/>
              </w:rPr>
              <m:t>ij</m:t>
            </m:r>
          </m:sub>
          <m:sup>
            <m:r>
              <w:rPr>
                <w:rFonts w:ascii="Cambria Math" w:hAnsi="Cambria Math"/>
                <w:lang w:val="en-GB"/>
              </w:rPr>
              <m:t>2</m:t>
            </m:r>
          </m:sup>
        </m:sSubSup>
        <m:d>
          <m:dPr>
            <m:ctrlPr>
              <w:rPr>
                <w:rFonts w:ascii="Cambria Math" w:hAnsi="Cambria Math"/>
                <w:i/>
                <w:lang w:val="en-GB"/>
              </w:rPr>
            </m:ctrlPr>
          </m:dPr>
          <m:e>
            <m:r>
              <w:rPr>
                <w:rFonts w:ascii="Cambria Math" w:hAnsi="Cambria Math"/>
                <w:lang w:val="en-GB"/>
              </w:rPr>
              <m:t>ω</m:t>
            </m:r>
          </m:e>
        </m:d>
        <m:r>
          <w:rPr>
            <w:rFonts w:ascii="Cambria Math" w:hAnsi="Cambria Math"/>
            <w:lang w:val="en-GB"/>
          </w:rPr>
          <m:t xml:space="preserve"> </m:t>
        </m:r>
      </m:oMath>
      <w:r w:rsidR="006711ED" w:rsidRPr="00C84D63">
        <w:rPr>
          <w:lang w:val="en-GB"/>
        </w:rPr>
        <w:t xml:space="preserve">is </w:t>
      </w:r>
      <w:r w:rsidR="00C84D63" w:rsidRPr="00C84D63">
        <w:rPr>
          <w:lang w:val="en-GB"/>
        </w:rPr>
        <w:t xml:space="preserve">the </w:t>
      </w:r>
      <w:r w:rsidR="006711ED" w:rsidRPr="00C84D63">
        <w:rPr>
          <w:lang w:val="en-GB"/>
        </w:rPr>
        <w:t>quadrature spectrum</w:t>
      </w:r>
      <w:r w:rsidR="004C58A0" w:rsidRPr="00C84D63">
        <w:rPr>
          <w:lang w:val="en-GB"/>
        </w:rPr>
        <w:t xml:space="preserve">. </w:t>
      </w:r>
      <w:r w:rsidR="007C38B7" w:rsidRPr="00C84D63">
        <w:rPr>
          <w:lang w:val="en-GB"/>
        </w:rPr>
        <w:t xml:space="preserve">Coherency </w:t>
      </w:r>
      <w:r w:rsidR="00704AF2">
        <w:rPr>
          <w:lang w:val="en-GB"/>
        </w:rPr>
        <w:t>has the same interpretation as R</w:t>
      </w:r>
      <w:r w:rsidR="00704AF2">
        <w:rPr>
          <w:vertAlign w:val="superscript"/>
          <w:lang w:val="en-GB"/>
        </w:rPr>
        <w:t xml:space="preserve">2 </w:t>
      </w:r>
      <w:r w:rsidR="00704AF2">
        <w:rPr>
          <w:lang w:val="en-GB"/>
        </w:rPr>
        <w:t xml:space="preserve">in the time domain and measures </w:t>
      </w:r>
      <w:r w:rsidR="00AB6A88" w:rsidRPr="00535A4C">
        <w:rPr>
          <w:lang w:val="en-GB"/>
        </w:rPr>
        <w:t>th</w:t>
      </w:r>
      <w:r w:rsidR="007C38B7">
        <w:rPr>
          <w:lang w:val="en-GB"/>
        </w:rPr>
        <w:t xml:space="preserve">e proportion of the variance of </w:t>
      </w:r>
      <w:r w:rsidR="00AB6A88" w:rsidRPr="00535A4C">
        <w:rPr>
          <w:lang w:val="en-GB"/>
        </w:rPr>
        <w:t xml:space="preserve">LR at a given frequency explained by the variance </w:t>
      </w:r>
      <w:r w:rsidR="007C38B7">
        <w:rPr>
          <w:lang w:val="en-GB"/>
        </w:rPr>
        <w:t xml:space="preserve">of </w:t>
      </w:r>
      <w:r w:rsidR="00AB6A88" w:rsidRPr="00535A4C">
        <w:rPr>
          <w:lang w:val="en-GB"/>
        </w:rPr>
        <w:t>LCPI (</w:t>
      </w:r>
      <w:r w:rsidR="007C38B7">
        <w:rPr>
          <w:lang w:val="en-GB"/>
        </w:rPr>
        <w:t xml:space="preserve">the </w:t>
      </w:r>
      <w:r w:rsidR="00F31496" w:rsidRPr="00535A4C">
        <w:rPr>
          <w:lang w:val="en-GB"/>
        </w:rPr>
        <w:t xml:space="preserve">logarithm of </w:t>
      </w:r>
      <w:r w:rsidR="007C38B7">
        <w:rPr>
          <w:lang w:val="en-GB"/>
        </w:rPr>
        <w:t xml:space="preserve">the </w:t>
      </w:r>
      <w:r w:rsidR="00F31496" w:rsidRPr="00535A4C">
        <w:rPr>
          <w:lang w:val="en-GB"/>
        </w:rPr>
        <w:t>consumer price index</w:t>
      </w:r>
      <w:r w:rsidR="00AB6A88" w:rsidRPr="00535A4C">
        <w:rPr>
          <w:lang w:val="en-GB"/>
        </w:rPr>
        <w:t xml:space="preserve">). </w:t>
      </w:r>
      <w:r w:rsidR="007C38B7">
        <w:rPr>
          <w:lang w:val="en-GB"/>
        </w:rPr>
        <w:t xml:space="preserve">A value </w:t>
      </w:r>
      <w:r w:rsidR="00284C8F">
        <w:rPr>
          <w:lang w:val="en-GB"/>
        </w:rPr>
        <w:t>around 0.50 is thought to be relatively small, whilst</w:t>
      </w:r>
      <w:r w:rsidR="00AB6A88" w:rsidRPr="00535A4C">
        <w:rPr>
          <w:lang w:val="en-GB"/>
        </w:rPr>
        <w:t xml:space="preserve"> </w:t>
      </w:r>
      <w:r w:rsidR="00704AF2">
        <w:rPr>
          <w:lang w:val="en-GB"/>
        </w:rPr>
        <w:t xml:space="preserve">values </w:t>
      </w:r>
      <w:r w:rsidR="007C38B7">
        <w:rPr>
          <w:lang w:val="en-GB"/>
        </w:rPr>
        <w:t xml:space="preserve">above </w:t>
      </w:r>
      <w:r w:rsidR="00AB6A88" w:rsidRPr="00535A4C">
        <w:rPr>
          <w:lang w:val="en-GB"/>
        </w:rPr>
        <w:t xml:space="preserve">0.75 </w:t>
      </w:r>
      <w:r w:rsidR="00704AF2">
        <w:rPr>
          <w:lang w:val="en-GB"/>
        </w:rPr>
        <w:t xml:space="preserve">are </w:t>
      </w:r>
      <w:r w:rsidR="007C38B7">
        <w:rPr>
          <w:lang w:val="en-GB"/>
        </w:rPr>
        <w:t xml:space="preserve">considered </w:t>
      </w:r>
      <w:r w:rsidR="00AB6A88" w:rsidRPr="00535A4C">
        <w:rPr>
          <w:lang w:val="en-GB"/>
        </w:rPr>
        <w:t xml:space="preserve">significant. </w:t>
      </w:r>
    </w:p>
    <w:p w14:paraId="77033180" w14:textId="77777777" w:rsidR="00AB6A88" w:rsidRPr="00535A4C" w:rsidRDefault="00704AF2" w:rsidP="00E8204B">
      <w:pPr>
        <w:pStyle w:val="BodyText"/>
        <w:jc w:val="both"/>
        <w:rPr>
          <w:lang w:val="en-GB"/>
        </w:rPr>
      </w:pPr>
      <w:r>
        <w:rPr>
          <w:lang w:val="en-GB"/>
        </w:rPr>
        <w:t xml:space="preserve">The Gain (spectrum) statistic </w:t>
      </w:r>
      <w:r w:rsidR="00AB6A88" w:rsidRPr="00535A4C">
        <w:rPr>
          <w:lang w:val="en-GB"/>
        </w:rPr>
        <w:t>has the same interpretation as the regression coeffi</w:t>
      </w:r>
      <w:r>
        <w:rPr>
          <w:lang w:val="en-GB"/>
        </w:rPr>
        <w:t>cient in the linear regression</w:t>
      </w:r>
      <w:r w:rsidR="00AC48D4">
        <w:rPr>
          <w:lang w:val="en-GB"/>
        </w:rPr>
        <w:t xml:space="preserve">, </w:t>
      </w:r>
      <w:r>
        <w:rPr>
          <w:lang w:val="en-GB"/>
        </w:rPr>
        <w:t xml:space="preserve"> </w:t>
      </w:r>
      <w:r w:rsidR="00AC48D4">
        <w:rPr>
          <w:lang w:val="en-GB"/>
        </w:rPr>
        <w:t xml:space="preserve">see </w:t>
      </w:r>
      <w:r w:rsidR="00AB6A88" w:rsidRPr="00535A4C">
        <w:rPr>
          <w:lang w:val="en-GB"/>
        </w:rPr>
        <w:fldChar w:fldCharType="begin"/>
      </w:r>
      <w:r w:rsidR="00C57097" w:rsidRPr="00535A4C">
        <w:rPr>
          <w:lang w:val="en-GB"/>
        </w:rPr>
        <w:instrText xml:space="preserve"> ADDIN PAPERS2_CITATIONS &lt;citation&gt;&lt;uuid&gt;129C444C-57A5-4792-BC63-D1A989BA188B&lt;/uuid&gt;&lt;priority&gt;36&lt;/priority&gt;&lt;publications&gt;&lt;publication&gt;&lt;type&gt;400&lt;/type&gt;&lt;publication_date&gt;99197600001200000000200000&lt;/publication_date&gt;&lt;title&gt;Interpreting spectral analyses in terms of time-domain models&lt;/title&gt;&lt;url&gt;http://www.nber.org/chapters/c10429.pdf&lt;/url&gt;&lt;subtype&gt;400&lt;/subtype&gt;&lt;uuid&gt;4B6DBF31-4869-45B7-A2BC-4B29CCC96E14&lt;/uuid&gt;&lt;bundle&gt;&lt;publication&gt;&lt;title&gt;Annals of Economic and Social Measurement&lt;/title&gt;&lt;type&gt;-100&lt;/type&gt;&lt;subtype&gt;-100&lt;/subtype&gt;&lt;uuid&gt;164422DF-85F4-49FC-AF92-CD63657284B4&lt;/uuid&gt;&lt;/publication&gt;&lt;/bundle&gt;&lt;authors&gt;&lt;author&gt;&lt;firstName&gt;R&lt;/firstName&gt;&lt;middleNames&gt;F&lt;/middleNames&gt;&lt;lastName&gt;Engle&lt;/lastName&gt;&lt;/author&gt;&lt;/authors&gt;&lt;/publication&gt;&lt;/publications&gt;&lt;cites&gt;&lt;/cites&gt;&lt;/citation&gt;</w:instrText>
      </w:r>
      <w:r w:rsidR="00AB6A88" w:rsidRPr="00535A4C">
        <w:rPr>
          <w:lang w:val="en-GB"/>
        </w:rPr>
        <w:fldChar w:fldCharType="separate"/>
      </w:r>
      <w:r w:rsidR="00AB6A88" w:rsidRPr="00535A4C">
        <w:rPr>
          <w:lang w:val="en-GB"/>
        </w:rPr>
        <w:t>Engle</w:t>
      </w:r>
      <w:r w:rsidR="00AC48D4">
        <w:rPr>
          <w:lang w:val="en-GB"/>
        </w:rPr>
        <w:t xml:space="preserve"> (</w:t>
      </w:r>
      <w:r w:rsidR="00AB6A88" w:rsidRPr="00535A4C">
        <w:rPr>
          <w:lang w:val="en-GB"/>
        </w:rPr>
        <w:t>1976)</w:t>
      </w:r>
      <w:r w:rsidR="00AB6A88" w:rsidRPr="00535A4C">
        <w:rPr>
          <w:lang w:val="en-GB"/>
        </w:rPr>
        <w:fldChar w:fldCharType="end"/>
      </w:r>
    </w:p>
    <w:p w14:paraId="508EE2C0" w14:textId="77777777" w:rsidR="00AB6A88" w:rsidRDefault="00AB6A88" w:rsidP="00660757">
      <w:pPr>
        <w:pStyle w:val="MTDisplayEquation"/>
        <w:tabs>
          <w:tab w:val="clear" w:pos="9360"/>
          <w:tab w:val="right" w:pos="9000"/>
        </w:tabs>
        <w:jc w:val="both"/>
        <w:rPr>
          <w:lang w:val="en-GB"/>
        </w:rPr>
      </w:pPr>
      <w:r w:rsidRPr="00535A4C">
        <w:rPr>
          <w:lang w:val="en-GB"/>
        </w:rPr>
        <w:lastRenderedPageBreak/>
        <w:tab/>
      </w:r>
      <w:r w:rsidR="007B26A3" w:rsidRPr="007B26A3">
        <w:rPr>
          <w:position w:val="-18"/>
          <w:lang w:val="en-GB"/>
        </w:rPr>
        <w:object w:dxaOrig="2260" w:dyaOrig="480" w14:anchorId="518F5166">
          <v:shape id="_x0000_i1026" type="#_x0000_t75" style="width:113pt;height:24pt" o:ole="">
            <v:imagedata r:id="rId12" o:title=""/>
          </v:shape>
          <o:OLEObject Type="Embed" ProgID="Equation.DSMT4" ShapeID="_x0000_i1026" DrawAspect="Content" ObjectID="_1464887296" r:id="rId13"/>
        </w:object>
      </w:r>
      <w:r w:rsidR="00381D96" w:rsidRPr="00535A4C">
        <w:rPr>
          <w:lang w:val="en-GB"/>
        </w:rPr>
        <w:t xml:space="preserve"> </w:t>
      </w:r>
      <w:r w:rsidRPr="00535A4C">
        <w:rPr>
          <w:lang w:val="en-GB"/>
        </w:rPr>
        <w:t xml:space="preserve"> </w:t>
      </w:r>
      <w:r w:rsidRPr="00535A4C">
        <w:rPr>
          <w:lang w:val="en-GB"/>
        </w:rPr>
        <w:tab/>
        <w:t>(2)</w:t>
      </w:r>
    </w:p>
    <w:p w14:paraId="149DC548" w14:textId="77777777" w:rsidR="006711ED" w:rsidRPr="00C84D63" w:rsidRDefault="006711ED" w:rsidP="006711ED">
      <w:proofErr w:type="spellStart"/>
      <w:r w:rsidRPr="00C84D63">
        <w:rPr>
          <w:i/>
        </w:rPr>
        <w:t>G</w:t>
      </w:r>
      <w:r w:rsidRPr="00C84D63">
        <w:rPr>
          <w:i/>
          <w:vertAlign w:val="subscript"/>
        </w:rPr>
        <w:t>xy</w:t>
      </w:r>
      <w:proofErr w:type="spellEnd"/>
      <w:r w:rsidR="00302F6A" w:rsidRPr="00C84D63">
        <w:rPr>
          <w:i/>
          <w:vertAlign w:val="subscript"/>
        </w:rPr>
        <w:t xml:space="preserve"> </w:t>
      </w:r>
      <w:r w:rsidR="00302F6A" w:rsidRPr="00C84D63">
        <w:rPr>
          <w:i/>
        </w:rPr>
        <w:t>(</w:t>
      </w:r>
      <w:r w:rsidR="00302F6A" w:rsidRPr="00C84D63">
        <w:rPr>
          <w:i/>
        </w:rPr>
        <w:sym w:font="Symbol" w:char="F071"/>
      </w:r>
      <w:r w:rsidR="00302F6A" w:rsidRPr="00C84D63">
        <w:rPr>
          <w:i/>
        </w:rPr>
        <w:t>)</w:t>
      </w:r>
      <w:r w:rsidRPr="00C84D63">
        <w:t xml:space="preserve"> being </w:t>
      </w:r>
      <w:r w:rsidR="00C84D63" w:rsidRPr="00C84D63">
        <w:t xml:space="preserve">the </w:t>
      </w:r>
      <w:r w:rsidRPr="00C84D63">
        <w:t xml:space="preserve">gain, </w:t>
      </w:r>
      <m:oMath>
        <m:sSub>
          <m:sSubPr>
            <m:ctrlPr>
              <w:rPr>
                <w:rFonts w:ascii="Cambria Math" w:hAnsi="Cambria Math"/>
                <w:i/>
              </w:rPr>
            </m:ctrlPr>
          </m:sSubPr>
          <m:e>
            <m:r>
              <w:rPr>
                <w:rFonts w:ascii="Cambria Math" w:hAnsi="Cambria Math"/>
              </w:rPr>
              <m:t>f</m:t>
            </m:r>
          </m:e>
          <m:sub>
            <m:r>
              <w:rPr>
                <w:rFonts w:ascii="Cambria Math" w:hAnsi="Cambria Math"/>
              </w:rPr>
              <m:t>xy</m:t>
            </m:r>
          </m:sub>
        </m:sSub>
        <m:r>
          <w:rPr>
            <w:rFonts w:ascii="Cambria Math" w:hAnsi="Cambria Math"/>
          </w:rPr>
          <m:t>(θ)</m:t>
        </m:r>
      </m:oMath>
      <w:r w:rsidR="00C84D63" w:rsidRPr="00C84D63">
        <w:t xml:space="preserve"> the </w:t>
      </w:r>
      <w:r w:rsidRPr="00C84D63">
        <w:t xml:space="preserve">cross-amplitude spectrum and </w:t>
      </w:r>
      <m:oMath>
        <m:sSub>
          <m:sSubPr>
            <m:ctrlPr>
              <w:rPr>
                <w:rFonts w:ascii="Cambria Math" w:hAnsi="Cambria Math"/>
                <w:i/>
              </w:rPr>
            </m:ctrlPr>
          </m:sSubPr>
          <m:e>
            <m:r>
              <w:rPr>
                <w:rFonts w:ascii="Cambria Math" w:hAnsi="Cambria Math"/>
              </w:rPr>
              <m:t>f</m:t>
            </m:r>
          </m:e>
          <m:sub>
            <m:r>
              <w:rPr>
                <w:rFonts w:ascii="Cambria Math" w:hAnsi="Cambria Math"/>
              </w:rPr>
              <m:t>x</m:t>
            </m:r>
          </m:sub>
        </m:sSub>
        <m:r>
          <w:rPr>
            <w:rFonts w:ascii="Cambria Math" w:hAnsi="Cambria Math"/>
          </w:rPr>
          <m:t>(θ)</m:t>
        </m:r>
      </m:oMath>
      <w:r w:rsidR="00C84D63" w:rsidRPr="00C84D63">
        <w:t xml:space="preserve"> </w:t>
      </w:r>
      <w:r w:rsidRPr="00C84D63">
        <w:t xml:space="preserve">the input spectrum. </w:t>
      </w:r>
    </w:p>
    <w:p w14:paraId="03A6135B" w14:textId="77777777" w:rsidR="00AB6A88" w:rsidRPr="00535A4C" w:rsidRDefault="00AB6A88" w:rsidP="00660757">
      <w:pPr>
        <w:pStyle w:val="BodyText"/>
        <w:tabs>
          <w:tab w:val="clear" w:pos="8640"/>
          <w:tab w:val="right" w:pos="9000"/>
        </w:tabs>
        <w:jc w:val="both"/>
        <w:rPr>
          <w:lang w:val="en-GB"/>
        </w:rPr>
      </w:pPr>
      <w:r w:rsidRPr="00535A4C">
        <w:rPr>
          <w:lang w:val="en-GB"/>
        </w:rPr>
        <w:t>Hig</w:t>
      </w:r>
      <w:r w:rsidR="00103EE7">
        <w:rPr>
          <w:lang w:val="en-GB"/>
        </w:rPr>
        <w:t xml:space="preserve">h gain </w:t>
      </w:r>
      <w:r w:rsidRPr="00535A4C">
        <w:rPr>
          <w:lang w:val="en-GB"/>
        </w:rPr>
        <w:t xml:space="preserve">values (0.8-1.0) associated with high coherence values (&gt;0.75) </w:t>
      </w:r>
      <w:r w:rsidR="00284C8F">
        <w:rPr>
          <w:lang w:val="en-GB"/>
        </w:rPr>
        <w:t xml:space="preserve">would </w:t>
      </w:r>
      <w:r w:rsidRPr="00535A4C">
        <w:rPr>
          <w:lang w:val="en-GB"/>
        </w:rPr>
        <w:t xml:space="preserve">indicate </w:t>
      </w:r>
      <w:r w:rsidR="00103EE7">
        <w:rPr>
          <w:lang w:val="en-GB"/>
        </w:rPr>
        <w:t xml:space="preserve">that fluctuations in </w:t>
      </w:r>
      <w:r w:rsidRPr="00535A4C">
        <w:rPr>
          <w:lang w:val="en-GB"/>
        </w:rPr>
        <w:t>prices were trans</w:t>
      </w:r>
      <w:r w:rsidR="00103EE7">
        <w:rPr>
          <w:lang w:val="en-GB"/>
        </w:rPr>
        <w:t xml:space="preserve">mitted </w:t>
      </w:r>
      <w:r w:rsidRPr="00535A4C">
        <w:rPr>
          <w:lang w:val="en-GB"/>
        </w:rPr>
        <w:t xml:space="preserve">to long-term bond yields. </w:t>
      </w:r>
    </w:p>
    <w:p w14:paraId="15414661" w14:textId="77777777" w:rsidR="00AB6A88" w:rsidRPr="000461D9" w:rsidRDefault="00AC69A9" w:rsidP="000461D9">
      <w:pPr>
        <w:spacing w:line="480" w:lineRule="auto"/>
        <w:rPr>
          <w:i/>
        </w:rPr>
      </w:pPr>
      <w:r>
        <w:t xml:space="preserve">The </w:t>
      </w:r>
      <w:r w:rsidR="00AB6A88" w:rsidRPr="00535A4C">
        <w:t xml:space="preserve">Phase spectrum </w:t>
      </w:r>
      <w:r w:rsidR="000461D9" w:rsidRPr="000461D9">
        <w:rPr>
          <w:i/>
        </w:rPr>
        <w:sym w:font="Symbol" w:char="F066"/>
      </w:r>
      <w:proofErr w:type="spellStart"/>
      <w:r w:rsidR="000461D9">
        <w:rPr>
          <w:i/>
          <w:vertAlign w:val="subscript"/>
        </w:rPr>
        <w:t>xy</w:t>
      </w:r>
      <w:proofErr w:type="spellEnd"/>
      <w:r w:rsidR="000461D9">
        <w:rPr>
          <w:i/>
        </w:rPr>
        <w:t xml:space="preserve"> (</w:t>
      </w:r>
      <w:r w:rsidR="000461D9">
        <w:rPr>
          <w:i/>
        </w:rPr>
        <w:sym w:font="Symbol" w:char="F077"/>
      </w:r>
      <w:r w:rsidR="000461D9">
        <w:rPr>
          <w:i/>
        </w:rPr>
        <w:t xml:space="preserve">) </w:t>
      </w:r>
      <w:r w:rsidR="00AB6A88" w:rsidRPr="00535A4C">
        <w:t>show</w:t>
      </w:r>
      <w:r w:rsidR="006B455A" w:rsidRPr="00535A4C">
        <w:t>s</w:t>
      </w:r>
      <w:r w:rsidR="00AB6A88" w:rsidRPr="00535A4C">
        <w:t xml:space="preserve"> the lead/lag relationship between LR and LCPI and </w:t>
      </w:r>
      <w:r w:rsidR="00284C8F">
        <w:t xml:space="preserve">can be </w:t>
      </w:r>
      <w:r w:rsidR="00AB6A88" w:rsidRPr="00535A4C">
        <w:t xml:space="preserve">expressed in the form </w:t>
      </w:r>
      <w:r w:rsidR="00AC48D4">
        <w:t xml:space="preserve">as in </w:t>
      </w:r>
      <w:r w:rsidR="00AB6A88" w:rsidRPr="00535A4C">
        <w:fldChar w:fldCharType="begin"/>
      </w:r>
      <w:r w:rsidR="00C57097" w:rsidRPr="00535A4C">
        <w:instrText xml:space="preserve"> ADDIN PAPERS2_CITATIONS &lt;citation&gt;&lt;uuid&gt;CA2AA932-B538-40E6-B5BD-8CC81F4DCC76&lt;/uuid&gt;&lt;priority&gt;37&lt;/priority&gt;&lt;publications&gt;&lt;publication&gt;&lt;publication_date&gt;99199800001200000000200000&lt;/publication_date&gt;&lt;startpage&gt;225&lt;/startpage&gt;&lt;title&gt;Spectral Analysis of Time-Series Data&lt;/title&gt;&lt;uuid&gt;A7573512-7420-4D3B-B7BA-3DD65B47E01B&lt;/uuid&gt;&lt;subtype&gt;0&lt;/subtype&gt;&lt;publisher&gt;Guilford Press&lt;/publisher&gt;&lt;type&gt;0&lt;/type&gt;&lt;url&gt;http://books.google.com/books?id=fzzSwQtC6UoC&amp;amp;printsec=frontcover&amp;amp;dq=spectral+analysis+of+time+series+data+warner&amp;amp;hl=&amp;amp;cd=1&amp;amp;source=gbs_api&lt;/url&gt;&lt;authors&gt;&lt;author&gt;&lt;firstName&gt;Rebecca&lt;/firstName&gt;&lt;middleNames&gt;M&lt;/middleNames&gt;&lt;lastName&gt;Warner&lt;/lastName&gt;&lt;/author&gt;&lt;/authors&gt;&lt;/publication&gt;&lt;/publications&gt;&lt;cites&gt;&lt;/cites&gt;&lt;/citation&gt;</w:instrText>
      </w:r>
      <w:r w:rsidR="00AB6A88" w:rsidRPr="00535A4C">
        <w:fldChar w:fldCharType="separate"/>
      </w:r>
      <w:r w:rsidR="00AB6A88" w:rsidRPr="00535A4C">
        <w:t xml:space="preserve">Warner </w:t>
      </w:r>
      <w:r w:rsidR="00AC48D4">
        <w:t>(</w:t>
      </w:r>
      <w:r w:rsidR="00AB6A88" w:rsidRPr="00535A4C">
        <w:t>1998)</w:t>
      </w:r>
      <w:r w:rsidR="00AB6A88" w:rsidRPr="00535A4C">
        <w:fldChar w:fldCharType="end"/>
      </w:r>
    </w:p>
    <w:p w14:paraId="0435B32F" w14:textId="77777777" w:rsidR="00AB6A88" w:rsidRPr="00535A4C" w:rsidRDefault="00AB6A88" w:rsidP="00E8204B">
      <w:pPr>
        <w:pStyle w:val="BodyText"/>
        <w:jc w:val="both"/>
        <w:rPr>
          <w:lang w:val="en-GB"/>
        </w:rPr>
      </w:pPr>
    </w:p>
    <w:p w14:paraId="1B27D18B" w14:textId="77777777" w:rsidR="00AB6A88" w:rsidRDefault="00AB6A88" w:rsidP="00660757">
      <w:pPr>
        <w:pStyle w:val="MTDisplayEquation"/>
        <w:tabs>
          <w:tab w:val="clear" w:pos="9360"/>
          <w:tab w:val="right" w:pos="9000"/>
        </w:tabs>
        <w:jc w:val="both"/>
        <w:rPr>
          <w:lang w:val="en-GB"/>
        </w:rPr>
      </w:pPr>
      <w:r w:rsidRPr="00535A4C">
        <w:rPr>
          <w:lang w:val="en-GB"/>
        </w:rPr>
        <w:tab/>
      </w:r>
      <w:r w:rsidR="00C453E0" w:rsidRPr="00535A4C">
        <w:rPr>
          <w:position w:val="-34"/>
          <w:lang w:val="en-GB"/>
        </w:rPr>
        <w:object w:dxaOrig="2860" w:dyaOrig="800" w14:anchorId="0232A600">
          <v:shape id="_x0000_i1027" type="#_x0000_t75" style="width:143pt;height:40pt" o:ole="">
            <v:imagedata r:id="rId14" o:title=""/>
          </v:shape>
          <o:OLEObject Type="Embed" ProgID="Equation.DSMT4" ShapeID="_x0000_i1027" DrawAspect="Content" ObjectID="_1464887297" r:id="rId15"/>
        </w:object>
      </w:r>
      <w:r w:rsidR="00C453E0" w:rsidRPr="00535A4C">
        <w:rPr>
          <w:lang w:val="en-GB"/>
        </w:rPr>
        <w:t xml:space="preserve"> </w:t>
      </w:r>
      <w:r w:rsidR="00CF0CF3">
        <w:rPr>
          <w:lang w:val="en-GB"/>
        </w:rPr>
        <w:t xml:space="preserve"> </w:t>
      </w:r>
      <w:r w:rsidR="000461D9">
        <w:rPr>
          <w:lang w:val="en-GB"/>
        </w:rPr>
        <w:t>.</w:t>
      </w:r>
      <w:r w:rsidRPr="00535A4C">
        <w:rPr>
          <w:lang w:val="en-GB"/>
        </w:rPr>
        <w:tab/>
        <w:t>(3)</w:t>
      </w:r>
    </w:p>
    <w:p w14:paraId="619E6F33" w14:textId="77777777" w:rsidR="00AB6A88" w:rsidRPr="00535A4C" w:rsidRDefault="00AB6A88" w:rsidP="00E8204B">
      <w:pPr>
        <w:pStyle w:val="BodyText"/>
        <w:jc w:val="both"/>
        <w:rPr>
          <w:lang w:val="en-GB"/>
        </w:rPr>
      </w:pPr>
      <w:r w:rsidRPr="00535A4C">
        <w:rPr>
          <w:lang w:val="en-GB"/>
        </w:rPr>
        <w:t>At high frequencies</w:t>
      </w:r>
      <w:r w:rsidR="000461D9">
        <w:rPr>
          <w:lang w:val="en-GB"/>
        </w:rPr>
        <w:t xml:space="preserve"> (</w:t>
      </w:r>
      <w:r w:rsidR="000461D9">
        <w:rPr>
          <w:lang w:val="en-GB"/>
        </w:rPr>
        <w:sym w:font="Symbol" w:char="F077"/>
      </w:r>
      <w:r w:rsidR="000461D9">
        <w:rPr>
          <w:lang w:val="en-GB"/>
        </w:rPr>
        <w:t>)</w:t>
      </w:r>
      <w:r w:rsidR="00B672D2" w:rsidRPr="00535A4C">
        <w:rPr>
          <w:lang w:val="en-GB"/>
        </w:rPr>
        <w:t>,</w:t>
      </w:r>
      <w:r w:rsidRPr="00535A4C">
        <w:rPr>
          <w:lang w:val="en-GB"/>
        </w:rPr>
        <w:t xml:space="preserve"> whe</w:t>
      </w:r>
      <w:r w:rsidR="00C23A75">
        <w:rPr>
          <w:lang w:val="en-GB"/>
        </w:rPr>
        <w:t>n</w:t>
      </w:r>
      <w:r w:rsidRPr="00535A4C">
        <w:rPr>
          <w:lang w:val="en-GB"/>
        </w:rPr>
        <w:t xml:space="preserve"> the squared coherency is largest</w:t>
      </w:r>
      <w:r w:rsidR="00B672D2" w:rsidRPr="00535A4C">
        <w:rPr>
          <w:lang w:val="en-GB"/>
        </w:rPr>
        <w:t>,</w:t>
      </w:r>
      <w:r w:rsidRPr="00535A4C">
        <w:rPr>
          <w:lang w:val="en-GB"/>
        </w:rPr>
        <w:t xml:space="preserve"> </w:t>
      </w:r>
      <w:r w:rsidR="00AC69A9">
        <w:rPr>
          <w:lang w:val="en-GB"/>
        </w:rPr>
        <w:t xml:space="preserve">the phase spectrum has </w:t>
      </w:r>
      <w:r w:rsidRPr="00535A4C">
        <w:rPr>
          <w:lang w:val="en-GB"/>
        </w:rPr>
        <w:t>positive values</w:t>
      </w:r>
      <w:r w:rsidR="00B672D2" w:rsidRPr="00535A4C">
        <w:rPr>
          <w:lang w:val="en-GB"/>
        </w:rPr>
        <w:t>,</w:t>
      </w:r>
      <w:r w:rsidRPr="00535A4C">
        <w:rPr>
          <w:lang w:val="en-GB"/>
        </w:rPr>
        <w:t xml:space="preserve"> suggesting </w:t>
      </w:r>
      <w:r w:rsidR="00AC69A9">
        <w:rPr>
          <w:lang w:val="en-GB"/>
        </w:rPr>
        <w:t xml:space="preserve">that </w:t>
      </w:r>
      <w:r w:rsidRPr="00535A4C">
        <w:rPr>
          <w:lang w:val="en-GB"/>
        </w:rPr>
        <w:t xml:space="preserve">price </w:t>
      </w:r>
      <w:r w:rsidR="00B672D2" w:rsidRPr="00535A4C">
        <w:rPr>
          <w:lang w:val="en-GB"/>
        </w:rPr>
        <w:t>change</w:t>
      </w:r>
      <w:r w:rsidR="00AC69A9">
        <w:rPr>
          <w:lang w:val="en-GB"/>
        </w:rPr>
        <w:t>s</w:t>
      </w:r>
      <w:r w:rsidR="00B672D2" w:rsidRPr="00535A4C">
        <w:rPr>
          <w:lang w:val="en-GB"/>
        </w:rPr>
        <w:t xml:space="preserve"> </w:t>
      </w:r>
      <w:r w:rsidRPr="00535A4C">
        <w:rPr>
          <w:lang w:val="en-GB"/>
        </w:rPr>
        <w:t>lead</w:t>
      </w:r>
      <w:r w:rsidR="00AC69A9">
        <w:rPr>
          <w:lang w:val="en-GB"/>
        </w:rPr>
        <w:t xml:space="preserve"> to </w:t>
      </w:r>
      <w:r w:rsidR="00B672D2" w:rsidRPr="00535A4C">
        <w:rPr>
          <w:lang w:val="en-GB"/>
        </w:rPr>
        <w:t>LR change</w:t>
      </w:r>
      <w:r w:rsidR="00AC69A9">
        <w:rPr>
          <w:lang w:val="en-GB"/>
        </w:rPr>
        <w:t xml:space="preserve">s. </w:t>
      </w:r>
    </w:p>
    <w:p w14:paraId="161CF017" w14:textId="77777777" w:rsidR="00AB6A88" w:rsidRPr="00535A4C" w:rsidRDefault="00C23A75" w:rsidP="00E8204B">
      <w:pPr>
        <w:pStyle w:val="BodyText"/>
        <w:jc w:val="both"/>
        <w:rPr>
          <w:lang w:val="en-GB"/>
        </w:rPr>
      </w:pPr>
      <w:r>
        <w:rPr>
          <w:lang w:val="en-GB"/>
        </w:rPr>
        <w:t>Non</w:t>
      </w:r>
      <w:r w:rsidR="00AC69A9">
        <w:rPr>
          <w:lang w:val="en-GB"/>
        </w:rPr>
        <w:t>linearity tests (</w:t>
      </w:r>
      <w:r w:rsidR="00AB6A88" w:rsidRPr="00535A4C">
        <w:rPr>
          <w:lang w:val="en-GB"/>
        </w:rPr>
        <w:t xml:space="preserve">not </w:t>
      </w:r>
      <w:r w:rsidR="00AC69A9">
        <w:rPr>
          <w:lang w:val="en-GB"/>
        </w:rPr>
        <w:t>report</w:t>
      </w:r>
      <w:r w:rsidR="00AB6A88" w:rsidRPr="00535A4C">
        <w:rPr>
          <w:lang w:val="en-GB"/>
        </w:rPr>
        <w:t xml:space="preserve">ed here), </w:t>
      </w:r>
      <w:r w:rsidR="00AC69A9">
        <w:rPr>
          <w:lang w:val="en-GB"/>
        </w:rPr>
        <w:t xml:space="preserve">specifically the </w:t>
      </w:r>
      <w:r w:rsidR="00AB6A88" w:rsidRPr="00535A4C">
        <w:rPr>
          <w:lang w:val="en-GB"/>
        </w:rPr>
        <w:t xml:space="preserve">BDS test </w:t>
      </w:r>
      <w:r w:rsidR="00AB6A88" w:rsidRPr="00535A4C">
        <w:rPr>
          <w:lang w:val="en-GB"/>
        </w:rPr>
        <w:fldChar w:fldCharType="begin"/>
      </w:r>
      <w:r w:rsidR="00C57097" w:rsidRPr="00535A4C">
        <w:rPr>
          <w:lang w:val="en-GB"/>
        </w:rPr>
        <w:instrText xml:space="preserve"> ADDIN PAPERS2_CITATIONS &lt;citation&gt;&lt;uuid&gt;D73730DB-7A22-4ADE-9B82-FBBA943DD2B2&lt;/uuid&gt;&lt;priority&gt;38&lt;/priority&gt;&lt;publications&gt;&lt;publication&gt;&lt;volume&gt;15&lt;/volume&gt;&lt;number&gt;3&lt;/number&gt;&lt;startpage&gt;197&lt;/startpage&gt;&lt;title&gt;A test for independence based on the correlation dimension&lt;/title&gt;&lt;uuid&gt;2C7AC4A7-7CBE-41A7-BBB4-ED9F8DD2F4D3&lt;/uuid&gt;&lt;subtype&gt;400&lt;/subtype&gt;&lt;publisher&gt;Taylor &amp;amp; Francis&lt;/publisher&gt;&lt;type&gt;400&lt;/type&gt;&lt;endpage&gt;235&lt;/endpage&gt;&lt;publication_date&gt;99199600001200000000200000&lt;/publication_date&gt;&lt;bundle&gt;&lt;publication&gt;&lt;publisher&gt;Taylor &amp;amp; Francis&lt;/publisher&gt;&lt;title&gt;Econometric Reviews&lt;/title&gt;&lt;type&gt;-100&lt;/type&gt;&lt;subtype&gt;-100&lt;/subtype&gt;&lt;uuid&gt;92D67683-CCB5-46F8-94FE-FBE514A65DC6&lt;/uuid&gt;&lt;/publication&gt;&lt;/bundle&gt;&lt;authors&gt;&lt;author&gt;&lt;firstName&gt;W&lt;/firstName&gt;&lt;middleNames&gt;A&lt;/middleNames&gt;&lt;lastName&gt;Broock&lt;/lastName&gt;&lt;/author&gt;&lt;author&gt;&lt;firstName&gt;José&lt;/firstName&gt;&lt;middleNames&gt;Alexandre&lt;/middleNames&gt;&lt;lastName&gt;Scheinkman&lt;/lastName&gt;&lt;/author&gt;&lt;author&gt;&lt;firstName&gt;W&lt;/firstName&gt;&lt;middleNames&gt;Davis&lt;/middleNames&gt;&lt;lastName&gt;Dechert&lt;/lastName&gt;&lt;/author&gt;&lt;author&gt;&lt;firstName&gt;Blake&lt;/firstName&gt;&lt;lastName&gt;LeBaron&lt;/lastName&gt;&lt;/author&gt;&lt;/authors&gt;&lt;/publication&gt;&lt;/publications&gt;&lt;cites&gt;&lt;/cites&gt;&lt;/citation&gt;</w:instrText>
      </w:r>
      <w:r w:rsidR="00AB6A88" w:rsidRPr="00535A4C">
        <w:rPr>
          <w:lang w:val="en-GB"/>
        </w:rPr>
        <w:fldChar w:fldCharType="separate"/>
      </w:r>
      <w:r w:rsidR="00AC48D4">
        <w:rPr>
          <w:lang w:val="en-GB"/>
        </w:rPr>
        <w:t xml:space="preserve">- </w:t>
      </w:r>
      <w:r w:rsidR="00AB6A88" w:rsidRPr="00535A4C">
        <w:rPr>
          <w:lang w:val="en-GB"/>
        </w:rPr>
        <w:t>Broock</w:t>
      </w:r>
      <w:r w:rsidR="000917AF" w:rsidRPr="00535A4C">
        <w:rPr>
          <w:lang w:val="en-GB"/>
        </w:rPr>
        <w:t xml:space="preserve"> et</w:t>
      </w:r>
      <w:r w:rsidR="00AC48D4">
        <w:rPr>
          <w:lang w:val="en-GB"/>
        </w:rPr>
        <w:t xml:space="preserve"> </w:t>
      </w:r>
      <w:r w:rsidR="000917AF" w:rsidRPr="00535A4C">
        <w:rPr>
          <w:lang w:val="en-GB"/>
        </w:rPr>
        <w:t>al.</w:t>
      </w:r>
      <w:r w:rsidR="00AB6A88" w:rsidRPr="00535A4C">
        <w:rPr>
          <w:lang w:val="en-GB"/>
        </w:rPr>
        <w:t xml:space="preserve"> </w:t>
      </w:r>
      <w:r w:rsidR="00AC48D4">
        <w:rPr>
          <w:lang w:val="en-GB"/>
        </w:rPr>
        <w:t>(</w:t>
      </w:r>
      <w:r w:rsidR="00AB6A88" w:rsidRPr="00535A4C">
        <w:rPr>
          <w:lang w:val="en-GB"/>
        </w:rPr>
        <w:t>1996)</w:t>
      </w:r>
      <w:r w:rsidR="00AB6A88" w:rsidRPr="00535A4C">
        <w:rPr>
          <w:lang w:val="en-GB"/>
        </w:rPr>
        <w:fldChar w:fldCharType="end"/>
      </w:r>
      <w:r w:rsidR="00AB6A88" w:rsidRPr="00535A4C">
        <w:rPr>
          <w:lang w:val="en-GB"/>
        </w:rPr>
        <w:t xml:space="preserve"> and </w:t>
      </w:r>
      <w:r w:rsidR="00AC69A9">
        <w:rPr>
          <w:lang w:val="en-GB"/>
        </w:rPr>
        <w:t xml:space="preserve">one of its </w:t>
      </w:r>
      <w:r w:rsidR="00AB6A88" w:rsidRPr="00535A4C">
        <w:rPr>
          <w:lang w:val="en-GB"/>
        </w:rPr>
        <w:t>variant</w:t>
      </w:r>
      <w:r w:rsidR="00AC69A9">
        <w:rPr>
          <w:lang w:val="en-GB"/>
        </w:rPr>
        <w:t>s</w:t>
      </w:r>
      <w:r w:rsidR="00AC48D4">
        <w:rPr>
          <w:lang w:val="en-GB"/>
        </w:rPr>
        <w:t>,</w:t>
      </w:r>
      <w:r w:rsidR="00AB6A88" w:rsidRPr="00535A4C">
        <w:rPr>
          <w:lang w:val="en-GB"/>
        </w:rPr>
        <w:t xml:space="preserve"> </w:t>
      </w:r>
      <w:r w:rsidR="00AB6A88" w:rsidRPr="00535A4C">
        <w:rPr>
          <w:lang w:val="en-GB"/>
        </w:rPr>
        <w:fldChar w:fldCharType="begin"/>
      </w:r>
      <w:r w:rsidR="00C57097" w:rsidRPr="00535A4C">
        <w:rPr>
          <w:lang w:val="en-GB"/>
        </w:rPr>
        <w:instrText xml:space="preserve"> ADDIN PAPERS2_CITATIONS &lt;citation&gt;&lt;uuid&gt;B63219DB-23AD-44E2-B82B-84D84FD4C184&lt;/uuid&gt;&lt;priority&gt;39&lt;/priority&gt;&lt;publications&gt;&lt;publication&gt;&lt;volume&gt;20&lt;/volume&gt;&lt;number&gt;3&lt;/number&gt;&lt;startpage&gt;337&lt;/startpage&gt;&lt;title&gt;An alternative to the BDS test: integration across the correlation integral&lt;/title&gt;&lt;uuid&gt;BB09A60A-CF1D-4341-BB51-4875C16F5330&lt;/uuid&gt;&lt;subtype&gt;400&lt;/subtype&gt;&lt;publisher&gt;Taylor &amp;amp; Francis&lt;/publisher&gt;&lt;type&gt;400&lt;/type&gt;&lt;endpage&gt;351&lt;/endpage&gt;&lt;publication_date&gt;99200100001200000000200000&lt;/publication_date&gt;&lt;bundle&gt;&lt;publication&gt;&lt;publisher&gt;Taylor &amp;amp; Francis&lt;/publisher&gt;&lt;title&gt;Econometric Reviews&lt;/title&gt;&lt;type&gt;-100&lt;/type&gt;&lt;subtype&gt;-100&lt;/subtype&gt;&lt;uuid&gt;92D67683-CCB5-46F8-94FE-FBE514A65DC6&lt;/uuid&gt;&lt;/publication&gt;&lt;/bundle&gt;&lt;authors&gt;&lt;author&gt;&lt;firstName&gt;Evžen&lt;/firstName&gt;&lt;lastName&gt;Kočenda&lt;/lastName&gt;&lt;/author&gt;&lt;author&gt;&lt;firstName&gt;Evžen&lt;/firstName&gt;&lt;lastName&gt;Kočenda&lt;/lastName&gt;&lt;/author&gt;&lt;/authors&gt;&lt;/publication&gt;&lt;/publications&gt;&lt;cites&gt;&lt;/cites&gt;&lt;/citation&gt;</w:instrText>
      </w:r>
      <w:r w:rsidR="00AB6A88" w:rsidRPr="00535A4C">
        <w:rPr>
          <w:lang w:val="en-GB"/>
        </w:rPr>
        <w:fldChar w:fldCharType="separate"/>
      </w:r>
      <w:r w:rsidR="000917AF" w:rsidRPr="00535A4C">
        <w:rPr>
          <w:lang w:val="en-GB"/>
        </w:rPr>
        <w:t xml:space="preserve">Kočenda </w:t>
      </w:r>
      <w:r w:rsidR="00AC48D4">
        <w:rPr>
          <w:lang w:val="en-GB"/>
        </w:rPr>
        <w:t>(</w:t>
      </w:r>
      <w:r w:rsidR="00AB6A88" w:rsidRPr="00535A4C">
        <w:rPr>
          <w:lang w:val="en-GB"/>
        </w:rPr>
        <w:t>2001)</w:t>
      </w:r>
      <w:r w:rsidR="00AB6A88" w:rsidRPr="00535A4C">
        <w:rPr>
          <w:lang w:val="en-GB"/>
        </w:rPr>
        <w:fldChar w:fldCharType="end"/>
      </w:r>
      <w:r w:rsidR="00AB6A88" w:rsidRPr="00535A4C">
        <w:rPr>
          <w:lang w:val="en-GB"/>
        </w:rPr>
        <w:t xml:space="preserve"> detect nonlinear </w:t>
      </w:r>
      <w:r w:rsidR="000917AF" w:rsidRPr="00535A4C">
        <w:rPr>
          <w:lang w:val="en-GB"/>
        </w:rPr>
        <w:t>behaviour</w:t>
      </w:r>
      <w:r w:rsidR="00AB6A88" w:rsidRPr="00535A4C">
        <w:rPr>
          <w:lang w:val="en-GB"/>
        </w:rPr>
        <w:t xml:space="preserve"> in the LR, CPI and LCPI</w:t>
      </w:r>
      <w:r w:rsidR="00AC69A9">
        <w:rPr>
          <w:lang w:val="en-GB"/>
        </w:rPr>
        <w:t xml:space="preserve"> </w:t>
      </w:r>
      <w:r w:rsidR="00AC69A9" w:rsidRPr="00C84D63">
        <w:rPr>
          <w:lang w:val="en-GB"/>
        </w:rPr>
        <w:t>series. For this reason</w:t>
      </w:r>
      <w:r w:rsidR="00F236F4" w:rsidRPr="00C84D63">
        <w:rPr>
          <w:lang w:val="en-GB"/>
        </w:rPr>
        <w:t>, SSA (S</w:t>
      </w:r>
      <w:r w:rsidR="00AB6A88" w:rsidRPr="00C84D63">
        <w:rPr>
          <w:lang w:val="en-GB"/>
        </w:rPr>
        <w:t xml:space="preserve">ingular </w:t>
      </w:r>
      <w:r w:rsidR="00F236F4" w:rsidRPr="00C84D63">
        <w:rPr>
          <w:lang w:val="en-GB"/>
        </w:rPr>
        <w:t>Spectrum Analysis) and MSSA (Multichannel S</w:t>
      </w:r>
      <w:r w:rsidR="00AB6A88" w:rsidRPr="00C84D63">
        <w:rPr>
          <w:lang w:val="en-GB"/>
        </w:rPr>
        <w:t xml:space="preserve">ingular </w:t>
      </w:r>
      <w:r w:rsidR="00F236F4" w:rsidRPr="00C84D63">
        <w:rPr>
          <w:lang w:val="en-GB"/>
        </w:rPr>
        <w:t>Spectrum A</w:t>
      </w:r>
      <w:r w:rsidR="00AB6A88" w:rsidRPr="00C84D63">
        <w:rPr>
          <w:lang w:val="en-GB"/>
        </w:rPr>
        <w:t xml:space="preserve">nalysis) techniques </w:t>
      </w:r>
      <w:r w:rsidR="00AB6A88" w:rsidRPr="00535A4C">
        <w:rPr>
          <w:lang w:val="en-GB"/>
        </w:rPr>
        <w:t>are use</w:t>
      </w:r>
      <w:r w:rsidR="00AC69A9">
        <w:rPr>
          <w:lang w:val="en-GB"/>
        </w:rPr>
        <w:t xml:space="preserve">d in this study. </w:t>
      </w:r>
      <w:r w:rsidR="00AB6A88" w:rsidRPr="00535A4C">
        <w:rPr>
          <w:lang w:val="en-GB"/>
        </w:rPr>
        <w:t xml:space="preserve">SSA </w:t>
      </w:r>
      <w:r w:rsidR="00AC69A9">
        <w:rPr>
          <w:lang w:val="en-GB"/>
        </w:rPr>
        <w:t xml:space="preserve">detects </w:t>
      </w:r>
      <w:r w:rsidR="00AB6A88" w:rsidRPr="00535A4C">
        <w:rPr>
          <w:lang w:val="en-GB"/>
        </w:rPr>
        <w:t>trends, oscillatory patterns and noi</w:t>
      </w:r>
      <w:r w:rsidR="00AC69A9">
        <w:rPr>
          <w:lang w:val="en-GB"/>
        </w:rPr>
        <w:t>se in the series. The s</w:t>
      </w:r>
      <w:r w:rsidR="00AB6A88" w:rsidRPr="00535A4C">
        <w:rPr>
          <w:lang w:val="en-GB"/>
        </w:rPr>
        <w:t xml:space="preserve">ingle channel SSA </w:t>
      </w:r>
      <w:r w:rsidR="00AC69A9">
        <w:rPr>
          <w:lang w:val="en-GB"/>
        </w:rPr>
        <w:t xml:space="preserve">involves </w:t>
      </w:r>
      <w:r w:rsidR="00AB6A88" w:rsidRPr="00535A4C">
        <w:rPr>
          <w:lang w:val="en-GB"/>
        </w:rPr>
        <w:t>two main steps: decomposition and reconstruction. Decomposition is obtained by embedding the original time series (LR, LCPI) into lagged vector sequences of the form (trajectory matrix)</w:t>
      </w:r>
      <w:r w:rsidR="00AC48D4">
        <w:rPr>
          <w:lang w:val="en-GB"/>
        </w:rPr>
        <w:t>,</w:t>
      </w:r>
      <w:r w:rsidR="00AB6A88" w:rsidRPr="00535A4C">
        <w:rPr>
          <w:lang w:val="en-GB"/>
        </w:rPr>
        <w:t xml:space="preserve"> </w:t>
      </w:r>
      <w:r w:rsidR="00AB6A88" w:rsidRPr="00535A4C">
        <w:rPr>
          <w:lang w:val="en-GB"/>
        </w:rPr>
        <w:fldChar w:fldCharType="begin"/>
      </w:r>
      <w:r w:rsidR="00C57097" w:rsidRPr="00535A4C">
        <w:rPr>
          <w:lang w:val="en-GB"/>
        </w:rPr>
        <w:instrText xml:space="preserve"> ADDIN PAPERS2_CITATIONS &lt;citation&gt;&lt;uuid&gt;1505437B-7A86-4815-ADAF-F7B004E6B198&lt;/uuid&gt;&lt;priority&gt;40&lt;/priority&gt;&lt;publications&gt;&lt;publication&gt;&lt;publication_date&gt;99201301191200000000222000&lt;/publication_date&gt;&lt;startpage&gt;129&lt;/startpage&gt;&lt;title&gt;Singular Spectrum Analysis for Time Series&lt;/title&gt;&lt;uuid&gt;F0F78EE2-5720-4FCF-9952-17E491A77A7C&lt;/uuid&gt;&lt;subtype&gt;0&lt;/subtype&gt;&lt;publisher&gt;Springer&lt;/publisher&gt;&lt;type&gt;0&lt;/type&gt;&lt;url&gt;http://books.google.com/books?id=CUpEAAAAQBAJ&amp;amp;printsec=frontcover&amp;amp;dq=Singular+spectrum+analysis+for+time+series&amp;amp;hl=&amp;amp;cd=2&amp;amp;source=gbs_api&lt;/url&gt;&lt;authors&gt;&lt;author&gt;&lt;firstName&gt;N&lt;/firstName&gt;&lt;lastName&gt;Golyandina&lt;/lastName&gt;&lt;/author&gt;&lt;author&gt;&lt;firstName&gt;A&lt;/firstName&gt;&lt;lastName&gt;Zhigljavsky&lt;/lastName&gt;&lt;/author&gt;&lt;/authors&gt;&lt;/publication&gt;&lt;/publications&gt;&lt;cites&gt;&lt;/cites&gt;&lt;/citation&gt;</w:instrText>
      </w:r>
      <w:r w:rsidR="00AB6A88" w:rsidRPr="00535A4C">
        <w:rPr>
          <w:lang w:val="en-GB"/>
        </w:rPr>
        <w:fldChar w:fldCharType="separate"/>
      </w:r>
      <w:r w:rsidR="000917AF" w:rsidRPr="00535A4C">
        <w:rPr>
          <w:lang w:val="en-GB"/>
        </w:rPr>
        <w:t>Golyandina and</w:t>
      </w:r>
      <w:r w:rsidR="00AB6A88" w:rsidRPr="00535A4C">
        <w:rPr>
          <w:lang w:val="en-GB"/>
        </w:rPr>
        <w:t xml:space="preserve"> Zhigljavsky </w:t>
      </w:r>
      <w:r w:rsidR="00AC48D4">
        <w:rPr>
          <w:lang w:val="en-GB"/>
        </w:rPr>
        <w:t>(</w:t>
      </w:r>
      <w:r w:rsidR="00AB6A88" w:rsidRPr="00535A4C">
        <w:rPr>
          <w:lang w:val="en-GB"/>
        </w:rPr>
        <w:t>2013)</w:t>
      </w:r>
      <w:r w:rsidR="00AB6A88" w:rsidRPr="00535A4C">
        <w:rPr>
          <w:lang w:val="en-GB"/>
        </w:rPr>
        <w:fldChar w:fldCharType="end"/>
      </w:r>
    </w:p>
    <w:p w14:paraId="6F335FCB" w14:textId="77777777" w:rsidR="00AB6A88" w:rsidRPr="00535A4C" w:rsidRDefault="00AB6A88" w:rsidP="00660757">
      <w:pPr>
        <w:pStyle w:val="MTDisplayEquation"/>
        <w:tabs>
          <w:tab w:val="clear" w:pos="9360"/>
          <w:tab w:val="right" w:pos="9000"/>
        </w:tabs>
        <w:jc w:val="both"/>
        <w:rPr>
          <w:lang w:val="en-GB"/>
        </w:rPr>
      </w:pPr>
      <w:r w:rsidRPr="00535A4C">
        <w:rPr>
          <w:lang w:val="en-GB"/>
        </w:rPr>
        <w:tab/>
      </w:r>
      <w:r w:rsidR="00D82112" w:rsidRPr="00535A4C">
        <w:rPr>
          <w:position w:val="-68"/>
          <w:lang w:val="en-GB"/>
        </w:rPr>
        <w:object w:dxaOrig="4160" w:dyaOrig="1480" w14:anchorId="6C170FB6">
          <v:shape id="_x0000_i1028" type="#_x0000_t75" style="width:208pt;height:74pt" o:ole="">
            <v:imagedata r:id="rId16" o:title=""/>
          </v:shape>
          <o:OLEObject Type="Embed" ProgID="Equation.DSMT4" ShapeID="_x0000_i1028" DrawAspect="Content" ObjectID="_1464887298" r:id="rId17"/>
        </w:object>
      </w:r>
      <w:r w:rsidR="00D82112" w:rsidRPr="00535A4C">
        <w:rPr>
          <w:lang w:val="en-GB"/>
        </w:rPr>
        <w:t xml:space="preserve"> </w:t>
      </w:r>
      <w:r w:rsidRPr="00535A4C">
        <w:rPr>
          <w:lang w:val="en-GB"/>
        </w:rPr>
        <w:t xml:space="preserve"> .</w:t>
      </w:r>
      <w:r w:rsidRPr="00535A4C">
        <w:rPr>
          <w:lang w:val="en-GB"/>
        </w:rPr>
        <w:tab/>
        <w:t>(4)</w:t>
      </w:r>
    </w:p>
    <w:p w14:paraId="20EEECDA" w14:textId="77777777" w:rsidR="00AB6A88" w:rsidRPr="00535A4C" w:rsidRDefault="00AB6A88" w:rsidP="00E8204B">
      <w:pPr>
        <w:pStyle w:val="BodyText"/>
        <w:jc w:val="both"/>
        <w:rPr>
          <w:lang w:val="en-GB"/>
        </w:rPr>
      </w:pPr>
    </w:p>
    <w:p w14:paraId="090135A6" w14:textId="77777777" w:rsidR="00AB6A88" w:rsidRPr="00535A4C" w:rsidRDefault="00AC69A9" w:rsidP="00E8204B">
      <w:pPr>
        <w:pStyle w:val="MTDisplayEquation"/>
        <w:jc w:val="both"/>
        <w:rPr>
          <w:lang w:val="en-GB"/>
        </w:rPr>
      </w:pPr>
      <w:r>
        <w:rPr>
          <w:lang w:val="en-GB"/>
        </w:rPr>
        <w:t xml:space="preserve">A </w:t>
      </w:r>
      <w:r w:rsidR="00AB6A88" w:rsidRPr="00535A4C">
        <w:rPr>
          <w:lang w:val="en-GB"/>
        </w:rPr>
        <w:t xml:space="preserve">singular value decomposition of the trajectory matrix </w:t>
      </w:r>
      <w:r>
        <w:rPr>
          <w:lang w:val="en-GB"/>
        </w:rPr>
        <w:t xml:space="preserve">(4) </w:t>
      </w:r>
      <w:r w:rsidR="00AB6A88" w:rsidRPr="00535A4C">
        <w:rPr>
          <w:lang w:val="en-GB"/>
        </w:rPr>
        <w:t>has the form X = X</w:t>
      </w:r>
      <w:r w:rsidR="00AB6A88" w:rsidRPr="00535A4C">
        <w:rPr>
          <w:vertAlign w:val="subscript"/>
          <w:lang w:val="en-GB"/>
        </w:rPr>
        <w:t>1</w:t>
      </w:r>
      <w:r w:rsidR="00AB6A88" w:rsidRPr="00535A4C">
        <w:rPr>
          <w:lang w:val="en-GB"/>
        </w:rPr>
        <w:t xml:space="preserve"> + … +</w:t>
      </w:r>
      <w:proofErr w:type="spellStart"/>
      <w:r w:rsidR="00AB6A88" w:rsidRPr="00535A4C">
        <w:rPr>
          <w:lang w:val="en-GB"/>
        </w:rPr>
        <w:t>X</w:t>
      </w:r>
      <w:r w:rsidR="00AB6A88" w:rsidRPr="00535A4C">
        <w:rPr>
          <w:i/>
          <w:vertAlign w:val="subscript"/>
          <w:lang w:val="en-GB"/>
        </w:rPr>
        <w:t>d</w:t>
      </w:r>
      <w:proofErr w:type="spellEnd"/>
      <w:r w:rsidR="00AB6A88" w:rsidRPr="00535A4C">
        <w:rPr>
          <w:lang w:val="en-GB"/>
        </w:rPr>
        <w:t xml:space="preserve"> </w:t>
      </w:r>
      <w:r w:rsidR="004358E2" w:rsidRPr="00535A4C">
        <w:rPr>
          <w:lang w:val="en-GB"/>
        </w:rPr>
        <w:t>with</w:t>
      </w:r>
      <w:r w:rsidR="00D82112" w:rsidRPr="00535A4C">
        <w:rPr>
          <w:position w:val="-14"/>
          <w:lang w:val="en-GB"/>
        </w:rPr>
        <w:object w:dxaOrig="1400" w:dyaOrig="420" w14:anchorId="4BC29E6C">
          <v:shape id="_x0000_i1029" type="#_x0000_t75" style="width:70pt;height:21pt" o:ole="">
            <v:imagedata r:id="rId18" o:title=""/>
          </v:shape>
          <o:OLEObject Type="Embed" ProgID="Equation.DSMT4" ShapeID="_x0000_i1029" DrawAspect="Content" ObjectID="_1464887299" r:id="rId19"/>
        </w:object>
      </w:r>
      <w:r w:rsidR="00AB6A88" w:rsidRPr="00535A4C">
        <w:rPr>
          <w:lang w:val="en-GB"/>
        </w:rPr>
        <w:t xml:space="preserve">. </w:t>
      </w:r>
      <w:r>
        <w:rPr>
          <w:lang w:val="en-GB"/>
        </w:rPr>
        <w:t>The d</w:t>
      </w:r>
      <w:r w:rsidR="00B672D2" w:rsidRPr="00535A4C">
        <w:rPr>
          <w:lang w:val="en-GB"/>
        </w:rPr>
        <w:t xml:space="preserve">iagonal averaging </w:t>
      </w:r>
      <w:r w:rsidR="000224E0" w:rsidRPr="00535A4C">
        <w:rPr>
          <w:lang w:val="en-GB"/>
        </w:rPr>
        <w:t>method</w:t>
      </w:r>
      <w:r w:rsidR="00B672D2" w:rsidRPr="00535A4C">
        <w:rPr>
          <w:lang w:val="en-GB"/>
        </w:rPr>
        <w:t xml:space="preserve"> is applied to reconstruct</w:t>
      </w:r>
      <w:r w:rsidR="00AB6A88" w:rsidRPr="00535A4C">
        <w:rPr>
          <w:lang w:val="en-GB"/>
        </w:rPr>
        <w:t xml:space="preserve"> </w:t>
      </w:r>
      <w:r>
        <w:rPr>
          <w:lang w:val="en-GB"/>
        </w:rPr>
        <w:t xml:space="preserve">the </w:t>
      </w:r>
      <w:r w:rsidR="00AB6A88" w:rsidRPr="00535A4C">
        <w:rPr>
          <w:lang w:val="en-GB"/>
        </w:rPr>
        <w:t xml:space="preserve">original </w:t>
      </w:r>
      <w:r w:rsidR="00AB6A88" w:rsidRPr="00535A4C">
        <w:rPr>
          <w:lang w:val="en-GB"/>
        </w:rPr>
        <w:lastRenderedPageBreak/>
        <w:t xml:space="preserve">LR time series as the sum of </w:t>
      </w:r>
      <w:r w:rsidR="00C23A75">
        <w:rPr>
          <w:lang w:val="en-GB"/>
        </w:rPr>
        <w:t xml:space="preserve">the </w:t>
      </w:r>
      <w:r w:rsidR="00AB6A88" w:rsidRPr="00535A4C">
        <w:rPr>
          <w:lang w:val="en-GB"/>
        </w:rPr>
        <w:t xml:space="preserve">identified principal components. </w:t>
      </w:r>
      <w:r>
        <w:rPr>
          <w:lang w:val="en-GB"/>
        </w:rPr>
        <w:t xml:space="preserve">The </w:t>
      </w:r>
      <w:proofErr w:type="spellStart"/>
      <w:r w:rsidR="00AB6A88" w:rsidRPr="00535A4C">
        <w:rPr>
          <w:lang w:val="en-GB"/>
        </w:rPr>
        <w:t>Eigentriple</w:t>
      </w:r>
      <w:proofErr w:type="spellEnd"/>
      <w:r w:rsidR="00AB6A88" w:rsidRPr="00535A4C">
        <w:rPr>
          <w:lang w:val="en-GB"/>
        </w:rPr>
        <w:t xml:space="preserve"> grouping takes the form </w:t>
      </w:r>
      <w:r w:rsidR="00D82112" w:rsidRPr="00535A4C">
        <w:rPr>
          <w:position w:val="-14"/>
          <w:lang w:val="en-GB"/>
        </w:rPr>
        <w:object w:dxaOrig="1780" w:dyaOrig="380" w14:anchorId="044475F9">
          <v:shape id="_x0000_i1030" type="#_x0000_t75" style="width:89pt;height:19pt" o:ole="">
            <v:imagedata r:id="rId20" o:title=""/>
          </v:shape>
          <o:OLEObject Type="Embed" ProgID="Equation.DSMT4" ShapeID="_x0000_i1030" DrawAspect="Content" ObjectID="_1464887300" r:id="rId21"/>
        </w:object>
      </w:r>
      <w:r w:rsidR="00AB6A88" w:rsidRPr="00535A4C">
        <w:rPr>
          <w:lang w:val="en-GB"/>
        </w:rPr>
        <w:t xml:space="preserve"> with the i</w:t>
      </w:r>
      <w:r>
        <w:rPr>
          <w:lang w:val="en-GB"/>
        </w:rPr>
        <w:t xml:space="preserve">nput series LR decomposed as </w:t>
      </w:r>
    </w:p>
    <w:p w14:paraId="0E73DB9A" w14:textId="77777777" w:rsidR="00AB6A88" w:rsidRPr="00535A4C" w:rsidRDefault="00AB6A88" w:rsidP="00660757">
      <w:pPr>
        <w:pStyle w:val="MTDisplayEquation"/>
        <w:tabs>
          <w:tab w:val="clear" w:pos="9360"/>
          <w:tab w:val="right" w:pos="9000"/>
        </w:tabs>
        <w:jc w:val="both"/>
        <w:rPr>
          <w:vertAlign w:val="subscript"/>
          <w:lang w:val="en-GB"/>
        </w:rPr>
      </w:pPr>
      <w:r w:rsidRPr="00535A4C">
        <w:rPr>
          <w:lang w:val="en-GB"/>
        </w:rPr>
        <w:tab/>
      </w:r>
      <w:r w:rsidR="00AC48D4" w:rsidRPr="00535A4C">
        <w:rPr>
          <w:position w:val="-28"/>
          <w:lang w:val="en-GB"/>
        </w:rPr>
        <w:object w:dxaOrig="1160" w:dyaOrig="700" w14:anchorId="516E71AD">
          <v:shape id="_x0000_i1031" type="#_x0000_t75" style="width:58pt;height:35pt" o:ole="">
            <v:imagedata r:id="rId22" o:title=""/>
          </v:shape>
          <o:OLEObject Type="Embed" ProgID="Equation.DSMT4" ShapeID="_x0000_i1031" DrawAspect="Content" ObjectID="_1464887301" r:id="rId23"/>
        </w:object>
      </w:r>
      <w:r w:rsidR="00D82112" w:rsidRPr="00535A4C">
        <w:rPr>
          <w:lang w:val="en-GB"/>
        </w:rPr>
        <w:t xml:space="preserve"> </w:t>
      </w:r>
      <w:r w:rsidRPr="00535A4C">
        <w:rPr>
          <w:lang w:val="en-GB"/>
        </w:rPr>
        <w:t xml:space="preserve"> </w:t>
      </w:r>
      <w:r w:rsidRPr="00535A4C">
        <w:rPr>
          <w:lang w:val="en-GB"/>
        </w:rPr>
        <w:tab/>
        <w:t>(5)</w:t>
      </w:r>
    </w:p>
    <w:p w14:paraId="0DBC6290" w14:textId="77777777" w:rsidR="00AB6A88" w:rsidRDefault="00AB6A88" w:rsidP="007B26A3">
      <w:pPr>
        <w:jc w:val="both"/>
      </w:pPr>
      <w:r w:rsidRPr="00535A4C">
        <w:t>with n = 1,2,…,N</w:t>
      </w:r>
      <w:r w:rsidR="00AC48D4">
        <w:t>,</w:t>
      </w:r>
      <w:r w:rsidRPr="00535A4C">
        <w:t xml:space="preserve"> </w:t>
      </w:r>
      <w:r w:rsidRPr="00535A4C">
        <w:fldChar w:fldCharType="begin"/>
      </w:r>
      <w:r w:rsidR="00C57097" w:rsidRPr="00535A4C">
        <w:instrText xml:space="preserve"> ADDIN PAPERS2_CITATIONS &lt;citation&gt;&lt;uuid&gt;7BBBF58B-119E-4D2F-9BBD-E67E8E731BE1&lt;/uuid&gt;&lt;priority&gt;41&lt;/priority&gt;&lt;publications&gt;&lt;publication&gt;&lt;publication_date&gt;99201301191200000000222000&lt;/publication_date&gt;&lt;startpage&gt;129&lt;/startpage&gt;&lt;title&gt;Singular Spectrum Analysis for Time Series&lt;/title&gt;&lt;uuid&gt;F0F78EE2-5720-4FCF-9952-17E491A77A7C&lt;/uuid&gt;&lt;subtype&gt;0&lt;/subtype&gt;&lt;publisher&gt;Springer&lt;/publisher&gt;&lt;type&gt;0&lt;/type&gt;&lt;url&gt;http://books.google.com/books?id=CUpEAAAAQBAJ&amp;amp;printsec=frontcover&amp;amp;dq=Singular+spectrum+analysis+for+time+series&amp;amp;hl=&amp;amp;cd=2&amp;amp;source=gbs_api&lt;/url&gt;&lt;authors&gt;&lt;author&gt;&lt;firstName&gt;N&lt;/firstName&gt;&lt;lastName&gt;Golyandina&lt;/lastName&gt;&lt;/author&gt;&lt;author&gt;&lt;firstName&gt;A&lt;/firstName&gt;&lt;lastName&gt;Zhigljavsky&lt;/lastName&gt;&lt;/author&gt;&lt;/authors&gt;&lt;/publication&gt;&lt;/publications&gt;&lt;cites&gt;&lt;/cites&gt;&lt;/citation&gt;</w:instrText>
      </w:r>
      <w:r w:rsidRPr="00535A4C">
        <w:fldChar w:fldCharType="separate"/>
      </w:r>
      <w:r w:rsidR="000917AF" w:rsidRPr="00535A4C">
        <w:t>Golyandina and</w:t>
      </w:r>
      <w:r w:rsidRPr="00535A4C">
        <w:t xml:space="preserve"> Zhigljavsky </w:t>
      </w:r>
      <w:r w:rsidR="00AC48D4">
        <w:t>(</w:t>
      </w:r>
      <w:r w:rsidRPr="00535A4C">
        <w:t>2013)</w:t>
      </w:r>
      <w:r w:rsidRPr="00535A4C">
        <w:fldChar w:fldCharType="end"/>
      </w:r>
      <w:r w:rsidRPr="00535A4C">
        <w:t>.</w:t>
      </w:r>
    </w:p>
    <w:p w14:paraId="0F1DE9F5" w14:textId="77777777" w:rsidR="007B26A3" w:rsidRPr="00535A4C" w:rsidRDefault="007B26A3" w:rsidP="007B26A3">
      <w:pPr>
        <w:jc w:val="both"/>
      </w:pPr>
    </w:p>
    <w:p w14:paraId="09A525F6" w14:textId="77777777" w:rsidR="00AB6A88" w:rsidRPr="00535A4C" w:rsidRDefault="00AB6A88" w:rsidP="00AC69A9">
      <w:pPr>
        <w:pStyle w:val="BodyText"/>
        <w:jc w:val="both"/>
        <w:rPr>
          <w:lang w:val="en-GB"/>
        </w:rPr>
      </w:pPr>
      <w:r w:rsidRPr="00535A4C">
        <w:rPr>
          <w:lang w:val="en-GB"/>
        </w:rPr>
        <w:t xml:space="preserve">Singular spectrum analysis is used </w:t>
      </w:r>
      <w:r w:rsidRPr="007B26A3">
        <w:rPr>
          <w:lang w:val="en-GB"/>
        </w:rPr>
        <w:t xml:space="preserve">to decompose </w:t>
      </w:r>
      <w:r w:rsidR="00AC69A9" w:rsidRPr="007B26A3">
        <w:rPr>
          <w:lang w:val="en-GB"/>
        </w:rPr>
        <w:t xml:space="preserve">the </w:t>
      </w:r>
      <w:r w:rsidRPr="007B26A3">
        <w:rPr>
          <w:lang w:val="en-GB"/>
        </w:rPr>
        <w:t>series</w:t>
      </w:r>
      <w:r w:rsidRPr="00AC69A9">
        <w:rPr>
          <w:b/>
          <w:color w:val="FF0000"/>
          <w:lang w:val="en-GB"/>
        </w:rPr>
        <w:t xml:space="preserve"> </w:t>
      </w:r>
      <w:r w:rsidR="00AC69A9">
        <w:rPr>
          <w:lang w:val="en-GB"/>
        </w:rPr>
        <w:t xml:space="preserve">and </w:t>
      </w:r>
      <w:r w:rsidRPr="00535A4C">
        <w:rPr>
          <w:lang w:val="en-GB"/>
        </w:rPr>
        <w:t>to isolate</w:t>
      </w:r>
      <w:r w:rsidR="00B672D2" w:rsidRPr="00535A4C">
        <w:rPr>
          <w:lang w:val="en-GB"/>
        </w:rPr>
        <w:t xml:space="preserve"> the</w:t>
      </w:r>
      <w:r w:rsidR="00AC69A9">
        <w:rPr>
          <w:lang w:val="en-GB"/>
        </w:rPr>
        <w:t xml:space="preserve"> trend, periodic </w:t>
      </w:r>
      <w:r w:rsidRPr="00535A4C">
        <w:rPr>
          <w:lang w:val="en-GB"/>
        </w:rPr>
        <w:t xml:space="preserve">and oscillatory components in </w:t>
      </w:r>
      <w:r w:rsidR="00C23A75">
        <w:rPr>
          <w:lang w:val="en-GB"/>
        </w:rPr>
        <w:t xml:space="preserve">the </w:t>
      </w:r>
      <w:r w:rsidRPr="00535A4C">
        <w:rPr>
          <w:lang w:val="en-GB"/>
        </w:rPr>
        <w:t>bond yields series. Since</w:t>
      </w:r>
      <w:r w:rsidR="00F71686">
        <w:rPr>
          <w:lang w:val="en-GB"/>
        </w:rPr>
        <w:t xml:space="preserve"> </w:t>
      </w:r>
      <w:r w:rsidRPr="00535A4C">
        <w:rPr>
          <w:lang w:val="en-GB"/>
        </w:rPr>
        <w:t xml:space="preserve">the relationship between LR and LCPI is </w:t>
      </w:r>
      <w:r w:rsidR="00F71686">
        <w:rPr>
          <w:lang w:val="en-GB"/>
        </w:rPr>
        <w:t>the focus of the analysis</w:t>
      </w:r>
      <w:r w:rsidRPr="00535A4C">
        <w:rPr>
          <w:lang w:val="en-GB"/>
        </w:rPr>
        <w:t>, SSA has to be extended to the</w:t>
      </w:r>
      <w:r w:rsidR="00C23A75">
        <w:rPr>
          <w:lang w:val="en-GB"/>
        </w:rPr>
        <w:t xml:space="preserve"> multichannel singular spectrum</w:t>
      </w:r>
      <w:r w:rsidRPr="00535A4C">
        <w:rPr>
          <w:lang w:val="en-GB"/>
        </w:rPr>
        <w:t>. T</w:t>
      </w:r>
      <w:r w:rsidR="00F71686">
        <w:rPr>
          <w:lang w:val="en-GB"/>
        </w:rPr>
        <w:t>he t</w:t>
      </w:r>
      <w:r w:rsidRPr="00535A4C">
        <w:rPr>
          <w:lang w:val="en-GB"/>
        </w:rPr>
        <w:t xml:space="preserve">rajectory matrix </w:t>
      </w:r>
      <w:r w:rsidR="00F71686">
        <w:rPr>
          <w:lang w:val="en-GB"/>
        </w:rPr>
        <w:t xml:space="preserve">in this case </w:t>
      </w:r>
      <w:r w:rsidRPr="00535A4C">
        <w:rPr>
          <w:lang w:val="en-GB"/>
        </w:rPr>
        <w:t xml:space="preserve">takes the </w:t>
      </w:r>
      <w:r w:rsidR="00F71686">
        <w:rPr>
          <w:lang w:val="en-GB"/>
        </w:rPr>
        <w:t xml:space="preserve">following </w:t>
      </w:r>
      <w:r w:rsidRPr="00535A4C">
        <w:rPr>
          <w:lang w:val="en-GB"/>
        </w:rPr>
        <w:t xml:space="preserve">form </w:t>
      </w:r>
      <w:r w:rsidRPr="00535A4C">
        <w:rPr>
          <w:lang w:val="en-GB"/>
        </w:rPr>
        <w:fldChar w:fldCharType="begin"/>
      </w:r>
      <w:r w:rsidR="00C57097" w:rsidRPr="00535A4C">
        <w:rPr>
          <w:lang w:val="en-GB"/>
        </w:rPr>
        <w:instrText xml:space="preserve"> ADDIN PAPERS2_CITATIONS &lt;citation&gt;&lt;uuid&gt;661D38B0-6CFF-4970-BD53-A8304E7AD340&lt;/uuid&gt;&lt;priority&gt;42&lt;/priority&gt;&lt;publications&gt;&lt;publication&gt;&lt;publication_date&gt;99201301191200000000222000&lt;/publication_date&gt;&lt;startpage&gt;129&lt;/startpage&gt;&lt;title&gt;Singular Spectrum Analysis for Time Series&lt;/title&gt;&lt;uuid&gt;F0F78EE2-5720-4FCF-9952-17E491A77A7C&lt;/uuid&gt;&lt;subtype&gt;0&lt;/subtype&gt;&lt;publisher&gt;Springer&lt;/publisher&gt;&lt;type&gt;0&lt;/type&gt;&lt;url&gt;http://books.google.com/books?id=CUpEAAAAQBAJ&amp;amp;printsec=frontcover&amp;amp;dq=Singular+spectrum+analysis+for+time+series&amp;amp;hl=&amp;amp;cd=2&amp;amp;source=gbs_api&lt;/url&gt;&lt;authors&gt;&lt;author&gt;&lt;firstName&gt;N&lt;/firstName&gt;&lt;lastName&gt;Golyandina&lt;/lastName&gt;&lt;/author&gt;&lt;author&gt;&lt;firstName&gt;A&lt;/firstName&gt;&lt;lastName&gt;Zhigljavsky&lt;/lastName&gt;&lt;/author&gt;&lt;/authors&gt;&lt;/publication&gt;&lt;/publications&gt;&lt;cites&gt;&lt;/cites&gt;&lt;/citation&gt;</w:instrText>
      </w:r>
      <w:r w:rsidRPr="00535A4C">
        <w:rPr>
          <w:lang w:val="en-GB"/>
        </w:rPr>
        <w:fldChar w:fldCharType="separate"/>
      </w:r>
      <w:r w:rsidR="000917AF" w:rsidRPr="00535A4C">
        <w:rPr>
          <w:lang w:val="en-GB"/>
        </w:rPr>
        <w:t>Golyandina and</w:t>
      </w:r>
      <w:r w:rsidRPr="00535A4C">
        <w:rPr>
          <w:lang w:val="en-GB"/>
        </w:rPr>
        <w:t xml:space="preserve"> Zhigljavsky </w:t>
      </w:r>
      <w:r w:rsidR="00AC48D4">
        <w:rPr>
          <w:lang w:val="en-GB"/>
        </w:rPr>
        <w:t>(</w:t>
      </w:r>
      <w:r w:rsidRPr="00535A4C">
        <w:rPr>
          <w:lang w:val="en-GB"/>
        </w:rPr>
        <w:t>2013)</w:t>
      </w:r>
      <w:r w:rsidRPr="00535A4C">
        <w:rPr>
          <w:lang w:val="en-GB"/>
        </w:rPr>
        <w:fldChar w:fldCharType="end"/>
      </w:r>
      <w:r w:rsidR="00C23A75">
        <w:rPr>
          <w:lang w:val="en-GB"/>
        </w:rPr>
        <w:t>:</w:t>
      </w:r>
    </w:p>
    <w:p w14:paraId="1FAE0C8F" w14:textId="77777777" w:rsidR="00AB6A88" w:rsidRPr="00535A4C" w:rsidRDefault="00AB6A88" w:rsidP="00660757">
      <w:pPr>
        <w:pStyle w:val="MTDisplayEquation"/>
        <w:tabs>
          <w:tab w:val="clear" w:pos="9360"/>
          <w:tab w:val="right" w:pos="9000"/>
        </w:tabs>
        <w:jc w:val="both"/>
        <w:rPr>
          <w:lang w:val="en-GB"/>
        </w:rPr>
      </w:pPr>
      <w:r w:rsidRPr="00535A4C">
        <w:rPr>
          <w:lang w:val="en-GB"/>
        </w:rPr>
        <w:tab/>
      </w:r>
      <w:r w:rsidR="00507049" w:rsidRPr="00535A4C">
        <w:rPr>
          <w:position w:val="-4"/>
          <w:lang w:val="en-GB"/>
        </w:rPr>
        <w:object w:dxaOrig="180" w:dyaOrig="279" w14:anchorId="150BD7BC">
          <v:shape id="_x0000_i1032" type="#_x0000_t75" style="width:9pt;height:14pt" o:ole="">
            <v:imagedata r:id="rId24" o:title=""/>
          </v:shape>
          <o:OLEObject Type="Embed" ProgID="Equation.DSMT4" ShapeID="_x0000_i1032" DrawAspect="Content" ObjectID="_1464887302" r:id="rId25"/>
        </w:object>
      </w:r>
      <w:r w:rsidR="00507049" w:rsidRPr="00535A4C">
        <w:rPr>
          <w:lang w:val="en-GB"/>
        </w:rPr>
        <w:t xml:space="preserve">  </w:t>
      </w:r>
      <w:r w:rsidR="00045DEB" w:rsidRPr="00F13DC8">
        <w:rPr>
          <w:noProof/>
          <w:position w:val="-76"/>
          <w:lang w:val="en-US" w:eastAsia="en-US"/>
        </w:rPr>
        <w:drawing>
          <wp:inline distT="0" distB="0" distL="0" distR="0" wp14:anchorId="026011A1" wp14:editId="3A910828">
            <wp:extent cx="2844800" cy="1041400"/>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44800" cy="1041400"/>
                    </a:xfrm>
                    <a:prstGeom prst="rect">
                      <a:avLst/>
                    </a:prstGeom>
                    <a:noFill/>
                    <a:ln>
                      <a:noFill/>
                    </a:ln>
                  </pic:spPr>
                </pic:pic>
              </a:graphicData>
            </a:graphic>
          </wp:inline>
        </w:drawing>
      </w:r>
      <w:r w:rsidRPr="00535A4C">
        <w:rPr>
          <w:lang w:val="en-GB"/>
        </w:rPr>
        <w:t xml:space="preserve"> </w:t>
      </w:r>
      <w:r w:rsidRPr="00535A4C">
        <w:rPr>
          <w:lang w:val="en-GB"/>
        </w:rPr>
        <w:tab/>
        <w:t>(6)</w:t>
      </w:r>
    </w:p>
    <w:p w14:paraId="73249AA5" w14:textId="77777777" w:rsidR="00AB6A88" w:rsidRPr="00535A4C" w:rsidRDefault="00AB6A88" w:rsidP="00E8204B">
      <w:pPr>
        <w:jc w:val="both"/>
      </w:pPr>
      <w:r w:rsidRPr="00535A4C">
        <w:t xml:space="preserve">with the </w:t>
      </w:r>
      <w:proofErr w:type="spellStart"/>
      <w:r w:rsidRPr="00535A4C">
        <w:t>Toeplitz</w:t>
      </w:r>
      <w:proofErr w:type="spellEnd"/>
      <w:r w:rsidRPr="00535A4C">
        <w:t xml:space="preserve"> “grand” block matrix</w:t>
      </w:r>
      <w:r w:rsidR="00AC48D4">
        <w:t>,</w:t>
      </w:r>
      <w:r w:rsidRPr="00535A4C">
        <w:t xml:space="preserve"> </w:t>
      </w:r>
      <w:r w:rsidRPr="00535A4C">
        <w:fldChar w:fldCharType="begin"/>
      </w:r>
      <w:r w:rsidR="00C57097" w:rsidRPr="00535A4C">
        <w:instrText xml:space="preserve"> ADDIN PAPERS2_CITATIONS &lt;citation&gt;&lt;uuid&gt;E2831128-C32C-4C84-A910-07478D377CAE&lt;/uuid&gt;&lt;priority&gt;43&lt;/priority&gt;&lt;publications&gt;&lt;publication&gt;&lt;uuid&gt;995A44A2-8CF6-4221-8180-C0D087BC61C7&lt;/uuid&gt;&lt;volume&gt;40&lt;/volume&gt;&lt;doi&gt;10.1029/2000RG000092&lt;/doi&gt;&lt;startpage&gt;1003&lt;/startpage&gt;&lt;publication_date&gt;99200202001200000000220000&lt;/publication_date&gt;&lt;url&gt;http://adsabs.harvard.edu/cgi-bin/nph-data_query?bibcode=2002RvGeo..40.1003G&amp;amp;link_type=ABSTRACT&lt;/url&gt;&lt;citekey&gt;2002RvGeo..40.1003G&lt;/citekey&gt;&lt;type&gt;400&lt;/type&gt;&lt;title&gt;Advanced Spectral Methods for Climatic Time Series&lt;/title&gt;&lt;institution&gt;Department of Atmospheric Sciences and Institute of Geophysics and Planetary Physics, University of California, Los Angeles, Los Angeles, California USA.; Now at Now at International Research Institute for Climate Prediction (IRI), Palisades, New York, USA.&lt;/institution&gt;&lt;number&gt;1&lt;/number&gt;&lt;subtype&gt;400&lt;/subtype&gt;&lt;bundle&gt;&lt;publication&gt;&lt;title&gt;Reviews of Geophysics&lt;/title&gt;&lt;type&gt;-100&lt;/type&gt;&lt;subtype&gt;-100&lt;/subtype&gt;&lt;uuid&gt;11A9386B-FEDE-4D20-B291-1611CB39808C&lt;/uuid&gt;&lt;/publication&gt;&lt;/bundle&gt;&lt;authors&gt;&lt;author&gt;&lt;firstName&gt;M&lt;/firstName&gt;&lt;lastName&gt;Ghil&lt;/lastName&gt;&lt;/author&gt;&lt;author&gt;&lt;firstName&gt;M&lt;/firstName&gt;&lt;middleNames&gt;R&lt;/middleNames&gt;&lt;lastName&gt;Allen&lt;/lastName&gt;&lt;/author&gt;&lt;author&gt;&lt;firstName&gt;M&lt;/firstName&gt;&lt;middleNames&gt;D&lt;/middleNames&gt;&lt;lastName&gt;Dettinger&lt;/lastName&gt;&lt;/author&gt;&lt;author&gt;&lt;firstName&gt;K&lt;/firstName&gt;&lt;lastName&gt;Ide&lt;/lastName&gt;&lt;/author&gt;&lt;author&gt;&lt;firstName&gt;D&lt;/firstName&gt;&lt;lastName&gt;Kondrashov&lt;/lastName&gt;&lt;/author&gt;&lt;author&gt;&lt;firstName&gt;M&lt;/firstName&gt;&lt;middleNames&gt;E&lt;/middleNames&gt;&lt;lastName&gt;Mann&lt;/lastName&gt;&lt;/author&gt;&lt;author&gt;&lt;firstName&gt;A&lt;/firstName&gt;&lt;middleNames&gt;W&lt;/middleNames&gt;&lt;lastName&gt;Robertson&lt;/lastName&gt;&lt;/author&gt;&lt;author&gt;&lt;firstName&gt;A&lt;/firstName&gt;&lt;lastName&gt;Saunders&lt;/lastName&gt;&lt;/author&gt;&lt;author&gt;&lt;firstName&gt;Y&lt;/firstName&gt;&lt;lastName&gt;Tian&lt;/lastName&gt;&lt;/author&gt;&lt;author&gt;&lt;firstName&gt;F&lt;/firstName&gt;&lt;lastName&gt;Varadi&lt;/lastName&gt;&lt;/author&gt;&lt;author&gt;&lt;firstName&gt;P&lt;/firstName&gt;&lt;lastName&gt;Yiou&lt;/lastName&gt;&lt;/author&gt;&lt;/authors&gt;&lt;/publication&gt;&lt;/publications&gt;&lt;cites&gt;&lt;/cites&gt;&lt;/citation&gt;</w:instrText>
      </w:r>
      <w:r w:rsidRPr="00535A4C">
        <w:fldChar w:fldCharType="separate"/>
      </w:r>
      <w:r w:rsidRPr="00535A4C">
        <w:t xml:space="preserve">Ghil et al. </w:t>
      </w:r>
      <w:r w:rsidR="00AC48D4">
        <w:t>(</w:t>
      </w:r>
      <w:r w:rsidRPr="00535A4C">
        <w:t>2002)</w:t>
      </w:r>
      <w:r w:rsidRPr="00535A4C">
        <w:fldChar w:fldCharType="end"/>
      </w:r>
    </w:p>
    <w:p w14:paraId="5E4D9DD5" w14:textId="77777777" w:rsidR="00AB6A88" w:rsidRPr="00535A4C" w:rsidRDefault="00AB6A88" w:rsidP="00E8204B">
      <w:pPr>
        <w:jc w:val="both"/>
      </w:pPr>
    </w:p>
    <w:p w14:paraId="62ACD1D0" w14:textId="77777777" w:rsidR="00AB6A88" w:rsidRPr="00535A4C" w:rsidRDefault="00AB6A88" w:rsidP="00660757">
      <w:pPr>
        <w:pStyle w:val="MTDisplayEquation"/>
        <w:tabs>
          <w:tab w:val="clear" w:pos="9360"/>
          <w:tab w:val="right" w:pos="9000"/>
        </w:tabs>
        <w:jc w:val="both"/>
        <w:rPr>
          <w:lang w:val="en-GB"/>
        </w:rPr>
      </w:pPr>
      <w:r w:rsidRPr="00535A4C">
        <w:rPr>
          <w:lang w:val="en-GB"/>
        </w:rPr>
        <w:tab/>
      </w:r>
      <w:r w:rsidR="00AC48D4" w:rsidRPr="00AC48D4">
        <w:rPr>
          <w:position w:val="-140"/>
          <w:lang w:val="en-GB"/>
        </w:rPr>
        <w:object w:dxaOrig="3960" w:dyaOrig="2920" w14:anchorId="68F2C8FD">
          <v:shape id="_x0000_i1033" type="#_x0000_t75" style="width:198pt;height:146pt" o:ole="">
            <v:imagedata r:id="rId27" o:title=""/>
          </v:shape>
          <o:OLEObject Type="Embed" ProgID="Equation.DSMT4" ShapeID="_x0000_i1033" DrawAspect="Content" ObjectID="_1464887303" r:id="rId28"/>
        </w:object>
      </w:r>
      <w:r w:rsidR="00307E9C" w:rsidRPr="00535A4C">
        <w:rPr>
          <w:lang w:val="en-GB"/>
        </w:rPr>
        <w:t xml:space="preserve"> </w:t>
      </w:r>
      <w:r w:rsidRPr="00535A4C">
        <w:rPr>
          <w:lang w:val="en-GB"/>
        </w:rPr>
        <w:t xml:space="preserve"> .</w:t>
      </w:r>
      <w:r w:rsidRPr="00535A4C">
        <w:rPr>
          <w:lang w:val="en-GB"/>
        </w:rPr>
        <w:tab/>
        <w:t>(7)</w:t>
      </w:r>
    </w:p>
    <w:p w14:paraId="1AFA05CF" w14:textId="77777777" w:rsidR="00AB6A88" w:rsidRPr="00535A4C" w:rsidRDefault="00AB6A88" w:rsidP="00E8204B">
      <w:pPr>
        <w:pStyle w:val="BodyText"/>
        <w:jc w:val="both"/>
        <w:rPr>
          <w:lang w:val="en-GB"/>
        </w:rPr>
      </w:pPr>
      <w:r w:rsidRPr="00535A4C">
        <w:rPr>
          <w:lang w:val="en-GB"/>
        </w:rPr>
        <w:t>T</w:t>
      </w:r>
      <w:r w:rsidR="00F71686" w:rsidRPr="00F71686">
        <w:rPr>
          <w:lang w:val="en-GB"/>
        </w:rPr>
        <w:t xml:space="preserve">he following covariance matrix </w:t>
      </w:r>
      <w:r w:rsidR="00F71686">
        <w:rPr>
          <w:lang w:val="en-GB"/>
        </w:rPr>
        <w:t>is used t</w:t>
      </w:r>
      <w:r w:rsidRPr="00535A4C">
        <w:rPr>
          <w:lang w:val="en-GB"/>
        </w:rPr>
        <w:t xml:space="preserve">o identify and extract </w:t>
      </w:r>
      <w:r w:rsidR="00F71686">
        <w:rPr>
          <w:lang w:val="en-GB"/>
        </w:rPr>
        <w:t xml:space="preserve">the </w:t>
      </w:r>
      <w:r w:rsidRPr="00535A4C">
        <w:rPr>
          <w:lang w:val="en-GB"/>
        </w:rPr>
        <w:t>spati</w:t>
      </w:r>
      <w:r w:rsidR="00B672D2" w:rsidRPr="00535A4C">
        <w:rPr>
          <w:lang w:val="en-GB"/>
        </w:rPr>
        <w:t>al</w:t>
      </w:r>
      <w:r w:rsidR="00F71686">
        <w:rPr>
          <w:lang w:val="en-GB"/>
        </w:rPr>
        <w:t xml:space="preserve"> temporal structure (the </w:t>
      </w:r>
      <w:r w:rsidRPr="00535A4C">
        <w:rPr>
          <w:lang w:val="en-GB"/>
        </w:rPr>
        <w:t xml:space="preserve">principal patterns in time as well </w:t>
      </w:r>
      <w:r w:rsidR="00C23A75">
        <w:rPr>
          <w:lang w:val="en-GB"/>
        </w:rPr>
        <w:t xml:space="preserve">as </w:t>
      </w:r>
      <w:r w:rsidRPr="00535A4C">
        <w:rPr>
          <w:lang w:val="en-GB"/>
        </w:rPr>
        <w:t>in space) of the</w:t>
      </w:r>
      <w:r w:rsidR="00F71686">
        <w:rPr>
          <w:lang w:val="en-GB"/>
        </w:rPr>
        <w:t xml:space="preserve"> underlying stochastic process: </w:t>
      </w:r>
    </w:p>
    <w:p w14:paraId="04BDA999" w14:textId="77777777" w:rsidR="00AB6A88" w:rsidRPr="00535A4C" w:rsidRDefault="00AB6A88" w:rsidP="00660757">
      <w:pPr>
        <w:pStyle w:val="MTDisplayEquation"/>
        <w:tabs>
          <w:tab w:val="clear" w:pos="9360"/>
          <w:tab w:val="right" w:pos="9000"/>
        </w:tabs>
        <w:jc w:val="both"/>
        <w:rPr>
          <w:lang w:val="en-GB"/>
        </w:rPr>
      </w:pPr>
      <w:r w:rsidRPr="00535A4C">
        <w:rPr>
          <w:lang w:val="en-GB"/>
        </w:rPr>
        <w:lastRenderedPageBreak/>
        <w:tab/>
      </w:r>
      <w:r w:rsidR="00045DEB" w:rsidRPr="00F13DC8">
        <w:rPr>
          <w:noProof/>
          <w:position w:val="-110"/>
          <w:lang w:val="en-US" w:eastAsia="en-US"/>
        </w:rPr>
        <w:drawing>
          <wp:inline distT="0" distB="0" distL="0" distR="0" wp14:anchorId="45157650" wp14:editId="6368C42F">
            <wp:extent cx="3012440" cy="1473200"/>
            <wp:effectExtent l="0" t="0" r="1016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12440" cy="1473200"/>
                    </a:xfrm>
                    <a:prstGeom prst="rect">
                      <a:avLst/>
                    </a:prstGeom>
                    <a:noFill/>
                    <a:ln>
                      <a:noFill/>
                    </a:ln>
                  </pic:spPr>
                </pic:pic>
              </a:graphicData>
            </a:graphic>
          </wp:inline>
        </w:drawing>
      </w:r>
      <w:r w:rsidRPr="00535A4C">
        <w:rPr>
          <w:lang w:val="en-GB"/>
        </w:rPr>
        <w:t xml:space="preserve">. </w:t>
      </w:r>
      <w:r w:rsidRPr="00535A4C">
        <w:rPr>
          <w:lang w:val="en-GB"/>
        </w:rPr>
        <w:tab/>
        <w:t>(8)</w:t>
      </w:r>
    </w:p>
    <w:p w14:paraId="7B200C6C" w14:textId="77777777" w:rsidR="00AB6A88" w:rsidRPr="00535A4C" w:rsidRDefault="00AB6A88" w:rsidP="00E8204B">
      <w:pPr>
        <w:pStyle w:val="BodyText"/>
        <w:jc w:val="both"/>
        <w:rPr>
          <w:lang w:val="en-GB"/>
        </w:rPr>
      </w:pPr>
      <w:r w:rsidRPr="00535A4C">
        <w:rPr>
          <w:lang w:val="en-GB"/>
        </w:rPr>
        <w:t>To test for</w:t>
      </w:r>
      <w:r w:rsidR="00C23A75">
        <w:rPr>
          <w:lang w:val="en-GB"/>
        </w:rPr>
        <w:t xml:space="preserve"> the statistical significance of</w:t>
      </w:r>
      <w:r w:rsidRPr="00535A4C">
        <w:rPr>
          <w:lang w:val="en-GB"/>
        </w:rPr>
        <w:t xml:space="preserve"> the identified oscillatory channels (</w:t>
      </w:r>
      <w:r w:rsidR="00C23A75">
        <w:rPr>
          <w:lang w:val="en-GB"/>
        </w:rPr>
        <w:t xml:space="preserve">the </w:t>
      </w:r>
      <w:r w:rsidRPr="00535A4C">
        <w:rPr>
          <w:lang w:val="en-GB"/>
        </w:rPr>
        <w:t xml:space="preserve">extracted spectral components) a Monte Carlo test (MC-SSA) </w:t>
      </w:r>
      <w:r w:rsidRPr="00535A4C">
        <w:rPr>
          <w:lang w:val="en-GB"/>
        </w:rPr>
        <w:fldChar w:fldCharType="begin"/>
      </w:r>
      <w:r w:rsidR="00C57097" w:rsidRPr="00535A4C">
        <w:rPr>
          <w:lang w:val="en-GB"/>
        </w:rPr>
        <w:instrText xml:space="preserve"> ADDIN PAPERS2_CITATIONS &lt;citation&gt;&lt;uuid&gt;E962A7AF-0689-4408-87E5-31D266528A4A&lt;/uuid&gt;&lt;priority&gt;44&lt;/priority&gt;&lt;publications&gt;&lt;publication&gt;&lt;uuid&gt;AEB2744D-AB01-4C55-A83C-B554B9F6FD07&lt;/uuid&gt;&lt;volume&gt;9&lt;/volume&gt;&lt;doi&gt;10.1175/1520-0442(1996)009&amp;lt;3373:MCSDIO&gt;2.0.CO;2&lt;/doi&gt;&lt;startpage&gt;3373&lt;/startpage&gt;&lt;publication_date&gt;99199612001200000000220000&lt;/publication_date&gt;&lt;url&gt;http://www.ametsoc.org/pubs/journals/jcli/index.html&lt;/url&gt;&lt;citekey&gt;1996JCli....9.3373A&lt;/citekey&gt;&lt;type&gt;400&lt;/type&gt;&lt;title&gt;Monte Carlo SSA: Detecting irregular oscillations in the Presence of Colored Noise.&lt;/title&gt;&lt;number&gt;1&lt;/number&gt;&lt;subtype&gt;400&lt;/subtype&gt;&lt;endpage&gt;3404&lt;/endpage&gt;&lt;bundle&gt;&lt;publication&gt;&lt;title&gt;Journal of Climate&lt;/title&gt;&lt;type&gt;-100&lt;/type&gt;&lt;subtype&gt;-100&lt;/subtype&gt;&lt;uuid&gt;F976A037-B324-4FC2-A6B9-B06511D0CD4B&lt;/uuid&gt;&lt;/publication&gt;&lt;/bundle&gt;&lt;authors&gt;&lt;author&gt;&lt;firstName&gt;Myles&lt;/firstName&gt;&lt;middleNames&gt;R&lt;/middleNames&gt;&lt;lastName&gt;Allen&lt;/lastName&gt;&lt;/author&gt;&lt;author&gt;&lt;firstName&gt;Leonard&lt;/firstName&gt;&lt;middleNames&gt;A&lt;/middleNames&gt;&lt;lastName&gt;Smith&lt;/lastName&gt;&lt;/author&gt;&lt;/authors&gt;&lt;/publication&gt;&lt;/publications&gt;&lt;cites&gt;&lt;/cites&gt;&lt;/citation&gt;</w:instrText>
      </w:r>
      <w:r w:rsidRPr="00535A4C">
        <w:rPr>
          <w:lang w:val="en-GB"/>
        </w:rPr>
        <w:fldChar w:fldCharType="separate"/>
      </w:r>
      <w:r w:rsidR="00AC48D4">
        <w:rPr>
          <w:lang w:val="en-GB"/>
        </w:rPr>
        <w:t xml:space="preserve">of </w:t>
      </w:r>
      <w:r w:rsidR="00A95881" w:rsidRPr="00535A4C">
        <w:rPr>
          <w:lang w:val="en-GB"/>
        </w:rPr>
        <w:t>Allen and</w:t>
      </w:r>
      <w:r w:rsidRPr="00535A4C">
        <w:rPr>
          <w:lang w:val="en-GB"/>
        </w:rPr>
        <w:t xml:space="preserve"> Smith </w:t>
      </w:r>
      <w:r w:rsidR="00AC48D4">
        <w:rPr>
          <w:lang w:val="en-GB"/>
        </w:rPr>
        <w:t>(</w:t>
      </w:r>
      <w:r w:rsidRPr="00535A4C">
        <w:rPr>
          <w:lang w:val="en-GB"/>
        </w:rPr>
        <w:t>1996)</w:t>
      </w:r>
      <w:r w:rsidRPr="00535A4C">
        <w:rPr>
          <w:lang w:val="en-GB"/>
        </w:rPr>
        <w:fldChar w:fldCharType="end"/>
      </w:r>
      <w:r w:rsidRPr="00535A4C">
        <w:rPr>
          <w:lang w:val="en-GB"/>
        </w:rPr>
        <w:t xml:space="preserve"> against </w:t>
      </w:r>
      <w:r w:rsidR="00F71686">
        <w:rPr>
          <w:lang w:val="en-GB"/>
        </w:rPr>
        <w:t xml:space="preserve">the </w:t>
      </w:r>
      <w:r w:rsidRPr="00535A4C">
        <w:rPr>
          <w:lang w:val="en-GB"/>
        </w:rPr>
        <w:t>red noise null hypothesis following AR(1)</w:t>
      </w:r>
      <w:r w:rsidR="00F71686">
        <w:rPr>
          <w:lang w:val="en-GB"/>
        </w:rPr>
        <w:t xml:space="preserve"> is performed</w:t>
      </w:r>
      <w:r w:rsidR="00AC48D4">
        <w:rPr>
          <w:lang w:val="en-GB"/>
        </w:rPr>
        <w:t xml:space="preserve">, </w:t>
      </w:r>
      <w:r w:rsidR="00C23A75">
        <w:rPr>
          <w:lang w:val="en-GB"/>
        </w:rPr>
        <w:t>f</w:t>
      </w:r>
      <w:r w:rsidRPr="00535A4C">
        <w:rPr>
          <w:lang w:val="en-GB"/>
        </w:rPr>
        <w:t xml:space="preserve">or more details see </w:t>
      </w:r>
      <w:r w:rsidRPr="00535A4C">
        <w:rPr>
          <w:lang w:val="en-GB"/>
        </w:rPr>
        <w:fldChar w:fldCharType="begin"/>
      </w:r>
      <w:r w:rsidR="00C57097" w:rsidRPr="00535A4C">
        <w:rPr>
          <w:lang w:val="en-GB"/>
        </w:rPr>
        <w:instrText xml:space="preserve"> ADDIN PAPERS2_CITATIONS &lt;citation&gt;&lt;uuid&gt;DF632016-2C67-43C0-AEE2-DFC5D73D8B0A&lt;/uuid&gt;&lt;priority&gt;45&lt;/priority&gt;&lt;publications&gt;&lt;publication&gt;&lt;volume&gt;44&lt;/volume&gt;&lt;startpage&gt;445&lt;/startpage&gt;&lt;title&gt;Spectral methods: What they can and cannot do for climatic time series&lt;/title&gt;&lt;uuid&gt;55F3BF15-C63A-4ECB-8E46-B44D9C69E088&lt;/uuid&gt;&lt;subtype&gt;400&lt;/subtype&gt;&lt;publisher&gt;Springer&lt;/publisher&gt;&lt;type&gt;400&lt;/type&gt;&lt;endpage&gt;482&lt;/endpage&gt;&lt;publication_date&gt;99199600001200000000200000&lt;/publication_date&gt;&lt;bundle&gt;&lt;publication&gt;&lt;publisher&gt;Springer&lt;/publisher&gt;&lt;title&gt;NATO ASI SERIES I GLOBAL ENVIRONMENTAL CHANGE&lt;/title&gt;&lt;type&gt;-100&lt;/type&gt;&lt;subtype&gt;-100&lt;/subtype&gt;&lt;uuid&gt;6D921C6C-F8DD-4488-8B1D-EFC2B8B5F1E6&lt;/uuid&gt;&lt;/publication&gt;&lt;/bundle&gt;&lt;authors&gt;&lt;author&gt;&lt;firstName&gt;M&lt;/firstName&gt;&lt;lastName&gt;Ghil&lt;/lastName&gt;&lt;/author&gt;&lt;author&gt;&lt;firstName&gt;P&lt;/firstName&gt;&lt;lastName&gt;Yiou&lt;/lastName&gt;&lt;/author&gt;&lt;/authors&gt;&lt;/publication&gt;&lt;/publications&gt;&lt;cites&gt;&lt;/cites&gt;&lt;/citation&gt;</w:instrText>
      </w:r>
      <w:r w:rsidRPr="00535A4C">
        <w:rPr>
          <w:lang w:val="en-GB"/>
        </w:rPr>
        <w:fldChar w:fldCharType="separate"/>
      </w:r>
      <w:r w:rsidR="00A95881" w:rsidRPr="00535A4C">
        <w:rPr>
          <w:lang w:val="en-GB"/>
        </w:rPr>
        <w:t>Ghil and</w:t>
      </w:r>
      <w:r w:rsidRPr="00535A4C">
        <w:rPr>
          <w:lang w:val="en-GB"/>
        </w:rPr>
        <w:t xml:space="preserve"> Yiou </w:t>
      </w:r>
      <w:r w:rsidR="00AC48D4">
        <w:rPr>
          <w:lang w:val="en-GB"/>
        </w:rPr>
        <w:t>(</w:t>
      </w:r>
      <w:r w:rsidRPr="00535A4C">
        <w:rPr>
          <w:lang w:val="en-GB"/>
        </w:rPr>
        <w:t>1996)</w:t>
      </w:r>
      <w:r w:rsidRPr="00535A4C">
        <w:rPr>
          <w:lang w:val="en-GB"/>
        </w:rPr>
        <w:fldChar w:fldCharType="end"/>
      </w:r>
      <w:r w:rsidRPr="00535A4C">
        <w:rPr>
          <w:lang w:val="en-GB"/>
        </w:rPr>
        <w:t>,</w:t>
      </w:r>
      <w:r w:rsidRPr="00535A4C">
        <w:rPr>
          <w:lang w:val="en-GB"/>
        </w:rPr>
        <w:fldChar w:fldCharType="begin"/>
      </w:r>
      <w:r w:rsidR="00C57097" w:rsidRPr="00535A4C">
        <w:rPr>
          <w:lang w:val="en-GB"/>
        </w:rPr>
        <w:instrText xml:space="preserve"> ADDIN PAPERS2_CITATIONS &lt;citation&gt;&lt;uuid&gt;BA63124B-45FC-420A-9424-691E6B3AAE9D&lt;/uuid&gt;&lt;priority&gt;46&lt;/priority&gt;&lt;publications&gt;&lt;publication&gt;&lt;startpage&gt;137&lt;/startpage&gt;&lt;title&gt;Advanced spectral analysis methods&lt;/title&gt;&lt;uuid&gt;8E570667-CCDA-402D-A577-E6411C66DFE0&lt;/uuid&gt;&lt;subtype&gt;400&lt;/subtype&gt;&lt;publisher&gt;Citeseer&lt;/publisher&gt;&lt;type&gt;400&lt;/type&gt;&lt;endpage&gt;159&lt;/endpage&gt;&lt;publication_date&gt;99199700001200000000200000&lt;/publication_date&gt;&lt;bundle&gt;&lt;publication&gt;&lt;publisher&gt;Citeseer&lt;/publisher&gt;&lt;title&gt;Past and Present Variability of the Solar-Terrestrial System: Measurement, Data Analysis and Theoretical Models&lt;/title&gt;&lt;type&gt;-100&lt;/type&gt;&lt;subtype&gt;-100&lt;/subtype&gt;&lt;uuid&gt;7A6321AE-5346-4898-AF0D-68EF1F24F2A4&lt;/uuid&gt;&lt;/publication&gt;&lt;/bundle&gt;&lt;authors&gt;&lt;author&gt;&lt;firstName&gt;M&lt;/firstName&gt;&lt;lastName&gt;Ghil&lt;/lastName&gt;&lt;/author&gt;&lt;author&gt;&lt;firstName&gt;C&lt;/firstName&gt;&lt;lastName&gt;Taricco&lt;/lastName&gt;&lt;/author&gt;&lt;/authors&gt;&lt;/publication&gt;&lt;/publications&gt;&lt;cites&gt;&lt;/cites&gt;&lt;/citation&gt;</w:instrText>
      </w:r>
      <w:r w:rsidRPr="00535A4C">
        <w:rPr>
          <w:lang w:val="en-GB"/>
        </w:rPr>
        <w:fldChar w:fldCharType="separate"/>
      </w:r>
      <w:r w:rsidR="00AC48D4">
        <w:rPr>
          <w:lang w:val="en-GB"/>
        </w:rPr>
        <w:t xml:space="preserve"> </w:t>
      </w:r>
      <w:r w:rsidR="00A95881" w:rsidRPr="00535A4C">
        <w:rPr>
          <w:lang w:val="en-GB"/>
        </w:rPr>
        <w:t>Ghil and</w:t>
      </w:r>
      <w:r w:rsidRPr="00535A4C">
        <w:rPr>
          <w:lang w:val="en-GB"/>
        </w:rPr>
        <w:t xml:space="preserve"> Taricco </w:t>
      </w:r>
      <w:r w:rsidR="00AC48D4">
        <w:rPr>
          <w:lang w:val="en-GB"/>
        </w:rPr>
        <w:t>(</w:t>
      </w:r>
      <w:r w:rsidRPr="00535A4C">
        <w:rPr>
          <w:lang w:val="en-GB"/>
        </w:rPr>
        <w:t>1997)</w:t>
      </w:r>
      <w:r w:rsidRPr="00535A4C">
        <w:rPr>
          <w:lang w:val="en-GB"/>
        </w:rPr>
        <w:fldChar w:fldCharType="end"/>
      </w:r>
      <w:r w:rsidR="00F71686">
        <w:rPr>
          <w:lang w:val="en-GB"/>
        </w:rPr>
        <w:t xml:space="preserve">. It takes the following form: </w:t>
      </w:r>
    </w:p>
    <w:p w14:paraId="17899422" w14:textId="77777777" w:rsidR="00AB6A88" w:rsidRPr="00535A4C" w:rsidRDefault="00AB6A88" w:rsidP="00F71686">
      <w:pPr>
        <w:pStyle w:val="MTDisplayEquation"/>
        <w:tabs>
          <w:tab w:val="clear" w:pos="9360"/>
          <w:tab w:val="right" w:pos="9000"/>
        </w:tabs>
        <w:jc w:val="both"/>
        <w:rPr>
          <w:lang w:val="en-GB"/>
        </w:rPr>
      </w:pPr>
      <w:r w:rsidRPr="00535A4C">
        <w:rPr>
          <w:lang w:val="en-GB"/>
        </w:rPr>
        <w:tab/>
      </w:r>
      <w:r w:rsidR="00E35BCF" w:rsidRPr="00535A4C">
        <w:rPr>
          <w:position w:val="-14"/>
          <w:lang w:val="en-GB"/>
        </w:rPr>
        <w:object w:dxaOrig="3420" w:dyaOrig="400" w14:anchorId="453B3935">
          <v:shape id="_x0000_i1034" type="#_x0000_t75" style="width:171pt;height:20pt" o:ole="">
            <v:imagedata r:id="rId30" o:title=""/>
          </v:shape>
          <o:OLEObject Type="Embed" ProgID="Equation.DSMT4" ShapeID="_x0000_i1034" DrawAspect="Content" ObjectID="_1464887304" r:id="rId31"/>
        </w:object>
      </w:r>
      <w:r w:rsidR="00E35BCF" w:rsidRPr="00535A4C">
        <w:rPr>
          <w:lang w:val="en-GB"/>
        </w:rPr>
        <w:t xml:space="preserve"> </w:t>
      </w:r>
      <w:r w:rsidR="00F71686">
        <w:rPr>
          <w:lang w:val="en-GB"/>
        </w:rPr>
        <w:t xml:space="preserve"> </w:t>
      </w:r>
      <w:r w:rsidR="00F71686">
        <w:rPr>
          <w:lang w:val="en-GB"/>
        </w:rPr>
        <w:tab/>
        <w:t>(9)</w:t>
      </w:r>
    </w:p>
    <w:p w14:paraId="14048A6F" w14:textId="77777777" w:rsidR="00AB6A88" w:rsidRPr="00535A4C" w:rsidRDefault="00C84D63" w:rsidP="00E8204B">
      <w:pPr>
        <w:pStyle w:val="BodyText"/>
        <w:jc w:val="both"/>
        <w:rPr>
          <w:lang w:val="en-GB"/>
        </w:rPr>
      </w:pPr>
      <w:proofErr w:type="gramStart"/>
      <w:r w:rsidRPr="00C84D63">
        <w:rPr>
          <w:lang w:val="en-GB"/>
        </w:rPr>
        <w:t>where</w:t>
      </w:r>
      <w:proofErr w:type="gramEnd"/>
      <w:r w:rsidRPr="00C84D63">
        <w:rPr>
          <w:lang w:val="en-GB"/>
        </w:rPr>
        <w:t xml:space="preserve"> </w:t>
      </w:r>
      <w:r w:rsidR="000334B5" w:rsidRPr="00C84D63">
        <w:rPr>
          <w:i/>
          <w:lang w:val="en-GB"/>
        </w:rPr>
        <w:t>X</w:t>
      </w:r>
      <w:r w:rsidR="000334B5" w:rsidRPr="00C84D63">
        <w:rPr>
          <w:i/>
          <w:vertAlign w:val="subscript"/>
          <w:lang w:val="en-GB"/>
        </w:rPr>
        <w:t>0</w:t>
      </w:r>
      <w:r w:rsidRPr="00C84D63">
        <w:rPr>
          <w:lang w:val="en-GB"/>
        </w:rPr>
        <w:t xml:space="preserve"> is the mean of the process</w:t>
      </w:r>
      <w:r w:rsidR="000334B5" w:rsidRPr="00C84D63">
        <w:rPr>
          <w:lang w:val="en-GB"/>
        </w:rPr>
        <w:t xml:space="preserve">, </w:t>
      </w:r>
      <w:r w:rsidR="000334B5" w:rsidRPr="00C84D63">
        <w:rPr>
          <w:i/>
          <w:lang w:val="en-GB"/>
        </w:rPr>
        <w:t>a</w:t>
      </w:r>
      <w:r w:rsidRPr="00C84D63">
        <w:rPr>
          <w:i/>
          <w:vertAlign w:val="subscript"/>
          <w:lang w:val="en-GB"/>
        </w:rPr>
        <w:t xml:space="preserve">1 </w:t>
      </w:r>
      <w:r w:rsidRPr="00C84D63">
        <w:rPr>
          <w:lang w:val="en-GB"/>
        </w:rPr>
        <w:t>the constant and</w:t>
      </w:r>
      <w:r w:rsidR="000334B5" w:rsidRPr="00C84D63">
        <w:rPr>
          <w:i/>
          <w:lang w:val="en-GB"/>
        </w:rPr>
        <w:t xml:space="preserve"> </w:t>
      </w:r>
      <w:r w:rsidR="000334B5" w:rsidRPr="00C84D63">
        <w:rPr>
          <w:i/>
          <w:lang w:val="en-GB"/>
        </w:rPr>
        <w:sym w:font="Symbol" w:char="F073"/>
      </w:r>
      <w:r w:rsidR="000334B5" w:rsidRPr="00C84D63">
        <w:rPr>
          <w:lang w:val="en-GB"/>
        </w:rPr>
        <w:t xml:space="preserve"> </w:t>
      </w:r>
      <w:r w:rsidRPr="00C84D63">
        <w:rPr>
          <w:lang w:val="en-GB"/>
        </w:rPr>
        <w:t xml:space="preserve">the variance </w:t>
      </w:r>
      <w:r w:rsidR="000334B5" w:rsidRPr="00C84D63">
        <w:rPr>
          <w:lang w:val="en-GB"/>
        </w:rPr>
        <w:t xml:space="preserve">under the assumption of </w:t>
      </w:r>
      <w:r w:rsidRPr="00C84D63">
        <w:rPr>
          <w:lang w:val="en-GB"/>
        </w:rPr>
        <w:t xml:space="preserve">a </w:t>
      </w:r>
      <w:r w:rsidR="000334B5" w:rsidRPr="00C84D63">
        <w:rPr>
          <w:lang w:val="en-GB"/>
        </w:rPr>
        <w:t xml:space="preserve">Gaussian white noise process </w:t>
      </w:r>
      <w:r w:rsidR="000334B5" w:rsidRPr="00C84D63">
        <w:rPr>
          <w:i/>
          <w:lang w:val="en-GB"/>
        </w:rPr>
        <w:sym w:font="Symbol" w:char="F078"/>
      </w:r>
      <w:r w:rsidR="000334B5" w:rsidRPr="00C84D63">
        <w:rPr>
          <w:lang w:val="en-GB"/>
        </w:rPr>
        <w:t xml:space="preserve">.  </w:t>
      </w:r>
      <w:r w:rsidR="00AB6A88" w:rsidRPr="00C84D63">
        <w:rPr>
          <w:lang w:val="en-GB"/>
        </w:rPr>
        <w:t xml:space="preserve">To check </w:t>
      </w:r>
      <w:r w:rsidR="00AB6A88" w:rsidRPr="00535A4C">
        <w:rPr>
          <w:lang w:val="en-GB"/>
        </w:rPr>
        <w:t xml:space="preserve">the robustness of </w:t>
      </w:r>
      <w:r w:rsidR="00C23A75">
        <w:rPr>
          <w:lang w:val="en-GB"/>
        </w:rPr>
        <w:t xml:space="preserve">the </w:t>
      </w:r>
      <w:r w:rsidR="00AB6A88" w:rsidRPr="00535A4C">
        <w:rPr>
          <w:lang w:val="en-GB"/>
        </w:rPr>
        <w:t>MSSA results (</w:t>
      </w:r>
      <w:r w:rsidR="00F71686">
        <w:rPr>
          <w:lang w:val="en-GB"/>
        </w:rPr>
        <w:t xml:space="preserve">i.e., the </w:t>
      </w:r>
      <w:r w:rsidR="00AB6A88" w:rsidRPr="00535A4C">
        <w:rPr>
          <w:lang w:val="en-GB"/>
        </w:rPr>
        <w:t xml:space="preserve">statistical significance of </w:t>
      </w:r>
      <w:r w:rsidR="00C23A75">
        <w:rPr>
          <w:lang w:val="en-GB"/>
        </w:rPr>
        <w:t xml:space="preserve">the identified </w:t>
      </w:r>
      <w:r w:rsidR="001F4845">
        <w:rPr>
          <w:lang w:val="en-GB"/>
        </w:rPr>
        <w:t xml:space="preserve">oscillations), a Granger </w:t>
      </w:r>
      <w:r w:rsidR="00AB6A88" w:rsidRPr="00535A4C">
        <w:rPr>
          <w:lang w:val="en-GB"/>
        </w:rPr>
        <w:t xml:space="preserve">causality test based on singular spectrum analysis </w:t>
      </w:r>
      <w:r w:rsidR="001F4845">
        <w:rPr>
          <w:lang w:val="en-GB"/>
        </w:rPr>
        <w:t xml:space="preserve">is carried out </w:t>
      </w:r>
      <w:r w:rsidR="00AB6A88" w:rsidRPr="00535A4C">
        <w:rPr>
          <w:lang w:val="en-GB"/>
        </w:rPr>
        <w:t xml:space="preserve">following </w:t>
      </w:r>
      <w:r w:rsidR="00AB6A88" w:rsidRPr="00535A4C">
        <w:rPr>
          <w:lang w:val="en-GB"/>
        </w:rPr>
        <w:fldChar w:fldCharType="begin"/>
      </w:r>
      <w:r w:rsidR="00C57097" w:rsidRPr="00535A4C">
        <w:rPr>
          <w:lang w:val="en-GB"/>
        </w:rPr>
        <w:instrText xml:space="preserve"> ADDIN PAPERS2_CITATIONS &lt;citation&gt;&lt;uuid&gt;B9E474CD-E44E-4234-A1E4-34079DC0F4EB&lt;/uuid&gt;&lt;priority&gt;47&lt;/priority&gt;&lt;publications&gt;&lt;publication&gt;&lt;publication_date&gt;99201000001200000000200000&lt;/publication_date&gt;&lt;title&gt;A comprehensive causality test based on the singular spectrum analysis&lt;/title&gt;&lt;type&gt;400&lt;/type&gt;&lt;subtype&gt;400&lt;/subtype&gt;&lt;uuid&gt;C82A3EF7-2FD7-4E14-9669-7626D62CD62D&lt;/uuid&gt;&lt;bundle&gt;&lt;publication&gt;&lt;title&gt;Causality in Science&lt;/title&gt;&lt;type&gt;-100&lt;/type&gt;&lt;subtype&gt;-100&lt;/subtype&gt;&lt;uuid&gt;36065ED1-8EE0-4DBE-B30D-481023767E42&lt;/uuid&gt;&lt;/publication&gt;&lt;/bundle&gt;&lt;authors&gt;&lt;author&gt;&lt;firstName&gt;Hossein&lt;/firstName&gt;&lt;lastName&gt;Hassani&lt;/lastName&gt;&lt;/author&gt;&lt;author&gt;&lt;firstName&gt;Anatoly&lt;/firstName&gt;&lt;lastName&gt;Zhigljavsky&lt;/lastName&gt;&lt;/author&gt;&lt;author&gt;&lt;firstName&gt;Kerry&lt;/firstName&gt;&lt;lastName&gt;Patterson&lt;/lastName&gt;&lt;/author&gt;&lt;author&gt;&lt;firstName&gt;A&lt;/firstName&gt;&lt;lastName&gt;Soofi&lt;/lastName&gt;&lt;/author&gt;&lt;/authors&gt;&lt;/publication&gt;&lt;/publications&gt;&lt;cites&gt;&lt;/cites&gt;&lt;/citation&gt;</w:instrText>
      </w:r>
      <w:r w:rsidR="00AB6A88" w:rsidRPr="00535A4C">
        <w:rPr>
          <w:lang w:val="en-GB"/>
        </w:rPr>
        <w:fldChar w:fldCharType="separate"/>
      </w:r>
      <w:r w:rsidR="00A95881" w:rsidRPr="00535A4C">
        <w:rPr>
          <w:lang w:val="en-GB"/>
        </w:rPr>
        <w:t>Hassani et</w:t>
      </w:r>
      <w:r w:rsidR="00AC48D4">
        <w:rPr>
          <w:lang w:val="en-GB"/>
        </w:rPr>
        <w:t xml:space="preserve"> </w:t>
      </w:r>
      <w:r w:rsidR="00A95881" w:rsidRPr="00535A4C">
        <w:rPr>
          <w:lang w:val="en-GB"/>
        </w:rPr>
        <w:t>al.</w:t>
      </w:r>
      <w:r w:rsidR="00AB6A88" w:rsidRPr="00535A4C">
        <w:rPr>
          <w:lang w:val="en-GB"/>
        </w:rPr>
        <w:t xml:space="preserve"> </w:t>
      </w:r>
      <w:r w:rsidR="00AC48D4">
        <w:rPr>
          <w:lang w:val="en-GB"/>
        </w:rPr>
        <w:t>(</w:t>
      </w:r>
      <w:r w:rsidR="00AB6A88" w:rsidRPr="00535A4C">
        <w:rPr>
          <w:lang w:val="en-GB"/>
        </w:rPr>
        <w:t>2010)</w:t>
      </w:r>
      <w:r w:rsidR="00AB6A88" w:rsidRPr="00535A4C">
        <w:rPr>
          <w:lang w:val="en-GB"/>
        </w:rPr>
        <w:fldChar w:fldCharType="end"/>
      </w:r>
      <w:r w:rsidR="001F4845">
        <w:rPr>
          <w:lang w:val="en-GB"/>
        </w:rPr>
        <w:t>:</w:t>
      </w:r>
    </w:p>
    <w:p w14:paraId="0D3F9301" w14:textId="77777777" w:rsidR="00AB6A88" w:rsidRPr="00535A4C" w:rsidRDefault="00AB6A88" w:rsidP="00660757">
      <w:pPr>
        <w:pStyle w:val="MTDisplayEquation"/>
        <w:tabs>
          <w:tab w:val="clear" w:pos="9360"/>
          <w:tab w:val="right" w:pos="9000"/>
        </w:tabs>
        <w:jc w:val="both"/>
        <w:rPr>
          <w:lang w:val="en-GB"/>
        </w:rPr>
      </w:pPr>
      <w:r w:rsidRPr="00535A4C">
        <w:rPr>
          <w:lang w:val="en-GB"/>
        </w:rPr>
        <w:tab/>
      </w:r>
      <w:r w:rsidR="00642372" w:rsidRPr="00535A4C">
        <w:rPr>
          <w:position w:val="-36"/>
          <w:lang w:val="en-GB"/>
        </w:rPr>
        <w:object w:dxaOrig="1860" w:dyaOrig="840" w14:anchorId="0C0E82F2">
          <v:shape id="_x0000_i1035" type="#_x0000_t75" style="width:93pt;height:42pt" o:ole="">
            <v:imagedata r:id="rId32" o:title=""/>
          </v:shape>
          <o:OLEObject Type="Embed" ProgID="Equation.DSMT4" ShapeID="_x0000_i1035" DrawAspect="Content" ObjectID="_1464887305" r:id="rId33"/>
        </w:object>
      </w:r>
      <w:r w:rsidRPr="00535A4C">
        <w:rPr>
          <w:lang w:val="en-GB"/>
        </w:rPr>
        <w:t xml:space="preserve"> </w:t>
      </w:r>
      <w:r w:rsidRPr="00535A4C">
        <w:rPr>
          <w:lang w:val="en-GB"/>
        </w:rPr>
        <w:tab/>
        <w:t>(10)</w:t>
      </w:r>
    </w:p>
    <w:p w14:paraId="5AF73633" w14:textId="77777777" w:rsidR="00AB6A88" w:rsidRPr="00535A4C" w:rsidRDefault="00AB6A88" w:rsidP="00E8204B">
      <w:pPr>
        <w:pStyle w:val="BodyText"/>
        <w:jc w:val="both"/>
        <w:rPr>
          <w:iCs/>
          <w:lang w:val="en-GB"/>
        </w:rPr>
      </w:pPr>
      <w:proofErr w:type="gramStart"/>
      <w:r w:rsidRPr="00535A4C">
        <w:rPr>
          <w:lang w:val="en-GB"/>
        </w:rPr>
        <w:t>w</w:t>
      </w:r>
      <w:r w:rsidR="001F4845">
        <w:rPr>
          <w:lang w:val="en-GB"/>
        </w:rPr>
        <w:t>ith</w:t>
      </w:r>
      <w:proofErr w:type="gramEnd"/>
      <w:r w:rsidRPr="00535A4C">
        <w:rPr>
          <w:lang w:val="en-GB"/>
        </w:rPr>
        <w:t xml:space="preserve"> </w:t>
      </w:r>
      <w:r w:rsidR="00642372" w:rsidRPr="00535A4C">
        <w:rPr>
          <w:position w:val="-18"/>
          <w:lang w:val="en-GB"/>
        </w:rPr>
        <w:object w:dxaOrig="2659" w:dyaOrig="460" w14:anchorId="23C2257A">
          <v:shape id="_x0000_i1036" type="#_x0000_t75" style="width:133pt;height:23pt" o:ole="">
            <v:imagedata r:id="rId34" o:title=""/>
          </v:shape>
          <o:OLEObject Type="Embed" ProgID="Equation.DSMT4" ShapeID="_x0000_i1036" DrawAspect="Content" ObjectID="_1464887306" r:id="rId35"/>
        </w:object>
      </w:r>
      <w:r w:rsidRPr="00535A4C">
        <w:rPr>
          <w:lang w:val="en-GB"/>
        </w:rPr>
        <w:t xml:space="preserve"> representing </w:t>
      </w:r>
      <w:r w:rsidR="001F4845">
        <w:rPr>
          <w:lang w:val="en-GB"/>
        </w:rPr>
        <w:t xml:space="preserve">the </w:t>
      </w:r>
      <w:r w:rsidRPr="00535A4C">
        <w:rPr>
          <w:lang w:val="en-GB"/>
        </w:rPr>
        <w:t xml:space="preserve">mean square forecast error from </w:t>
      </w:r>
      <w:r w:rsidR="001F4845">
        <w:rPr>
          <w:lang w:val="en-GB"/>
        </w:rPr>
        <w:t xml:space="preserve">the </w:t>
      </w:r>
      <w:proofErr w:type="spellStart"/>
      <w:r w:rsidRPr="00535A4C">
        <w:rPr>
          <w:lang w:val="en-GB"/>
        </w:rPr>
        <w:t>univariate</w:t>
      </w:r>
      <w:proofErr w:type="spellEnd"/>
      <w:r w:rsidRPr="00535A4C">
        <w:rPr>
          <w:lang w:val="en-GB"/>
        </w:rPr>
        <w:t xml:space="preserve"> SSA, </w:t>
      </w:r>
      <w:r w:rsidR="001F4845">
        <w:rPr>
          <w:lang w:val="en-GB"/>
        </w:rPr>
        <w:t xml:space="preserve">and </w:t>
      </w:r>
      <w:r w:rsidR="00AC48D4" w:rsidRPr="00AC48D4">
        <w:rPr>
          <w:position w:val="-24"/>
          <w:lang w:val="en-GB"/>
        </w:rPr>
        <w:object w:dxaOrig="3040" w:dyaOrig="500" w14:anchorId="6A248F8F">
          <v:shape id="_x0000_i1037" type="#_x0000_t75" style="width:152pt;height:26pt" o:ole="">
            <v:imagedata r:id="rId36" o:title=""/>
          </v:shape>
          <o:OLEObject Type="Embed" ProgID="Equation.DSMT4" ShapeID="_x0000_i1037" DrawAspect="Content" ObjectID="_1464887307" r:id="rId37"/>
        </w:object>
      </w:r>
      <w:r w:rsidR="001F4845">
        <w:rPr>
          <w:lang w:val="en-GB"/>
        </w:rPr>
        <w:t xml:space="preserve"> including </w:t>
      </w:r>
      <w:r w:rsidRPr="00535A4C">
        <w:rPr>
          <w:i/>
          <w:lang w:val="en-GB"/>
        </w:rPr>
        <w:t>X</w:t>
      </w:r>
      <w:r w:rsidRPr="00535A4C">
        <w:rPr>
          <w:i/>
          <w:vertAlign w:val="subscript"/>
          <w:lang w:val="en-GB"/>
        </w:rPr>
        <w:t>T</w:t>
      </w:r>
      <w:r w:rsidRPr="00535A4C">
        <w:rPr>
          <w:i/>
          <w:lang w:val="en-GB"/>
        </w:rPr>
        <w:t xml:space="preserve"> </w:t>
      </w:r>
      <w:r w:rsidRPr="00535A4C">
        <w:rPr>
          <w:lang w:val="en-GB"/>
        </w:rPr>
        <w:t xml:space="preserve">and </w:t>
      </w:r>
      <w:r w:rsidRPr="00535A4C">
        <w:rPr>
          <w:i/>
          <w:lang w:val="en-GB"/>
        </w:rPr>
        <w:t>Y</w:t>
      </w:r>
      <w:r w:rsidRPr="00535A4C">
        <w:rPr>
          <w:i/>
          <w:vertAlign w:val="subscript"/>
          <w:lang w:val="en-GB"/>
        </w:rPr>
        <w:t>T+</w:t>
      </w:r>
      <w:r w:rsidRPr="00535A4C">
        <w:rPr>
          <w:vertAlign w:val="subscript"/>
          <w:lang w:val="en-GB"/>
        </w:rPr>
        <w:t>1</w:t>
      </w:r>
      <w:r w:rsidR="00927639" w:rsidRPr="00535A4C">
        <w:rPr>
          <w:vertAlign w:val="subscript"/>
          <w:lang w:val="en-GB"/>
        </w:rPr>
        <w:t xml:space="preserve"> </w:t>
      </w:r>
      <w:r w:rsidRPr="00535A4C">
        <w:rPr>
          <w:lang w:val="en-GB"/>
        </w:rPr>
        <w:t>(</w:t>
      </w:r>
      <w:r w:rsidR="001F4845">
        <w:rPr>
          <w:lang w:val="en-GB"/>
        </w:rPr>
        <w:t xml:space="preserve">the </w:t>
      </w:r>
      <w:r w:rsidRPr="00535A4C">
        <w:rPr>
          <w:lang w:val="en-GB"/>
        </w:rPr>
        <w:t xml:space="preserve">lagged differenced series) being </w:t>
      </w:r>
      <w:r w:rsidR="001F4845">
        <w:rPr>
          <w:lang w:val="en-GB"/>
        </w:rPr>
        <w:t xml:space="preserve">the </w:t>
      </w:r>
      <w:r w:rsidRPr="00535A4C">
        <w:rPr>
          <w:lang w:val="en-GB"/>
        </w:rPr>
        <w:t xml:space="preserve">mean square forecast error </w:t>
      </w:r>
      <w:r w:rsidR="001F4845">
        <w:rPr>
          <w:lang w:val="en-GB"/>
        </w:rPr>
        <w:t xml:space="preserve">from MSSA.  If </w:t>
      </w:r>
      <w:r w:rsidR="002C0676" w:rsidRPr="00535A4C">
        <w:rPr>
          <w:position w:val="-14"/>
          <w:lang w:val="en-GB"/>
        </w:rPr>
        <w:object w:dxaOrig="920" w:dyaOrig="400" w14:anchorId="17A463C7">
          <v:shape id="_x0000_i1038" type="#_x0000_t75" style="width:46pt;height:20pt" o:ole="">
            <v:imagedata r:id="rId38" o:title=""/>
          </v:shape>
          <o:OLEObject Type="Embed" ProgID="Equation.DSMT4" ShapeID="_x0000_i1038" DrawAspect="Content" ObjectID="_1464887308" r:id="rId39"/>
        </w:object>
      </w:r>
      <w:r w:rsidRPr="00535A4C">
        <w:rPr>
          <w:iCs/>
          <w:sz w:val="22"/>
          <w:szCs w:val="22"/>
          <w:lang w:val="en-GB"/>
        </w:rPr>
        <w:t xml:space="preserve">, </w:t>
      </w:r>
      <w:r w:rsidRPr="00535A4C">
        <w:rPr>
          <w:i/>
          <w:lang w:val="en-GB"/>
        </w:rPr>
        <w:t>Y</w:t>
      </w:r>
      <w:r w:rsidRPr="00535A4C">
        <w:rPr>
          <w:i/>
          <w:vertAlign w:val="subscript"/>
          <w:lang w:val="en-GB"/>
        </w:rPr>
        <w:t>T+</w:t>
      </w:r>
      <w:r w:rsidRPr="00535A4C">
        <w:rPr>
          <w:vertAlign w:val="subscript"/>
          <w:lang w:val="en-GB"/>
        </w:rPr>
        <w:t xml:space="preserve">1 </w:t>
      </w:r>
      <w:r w:rsidR="001F4845">
        <w:rPr>
          <w:lang w:val="en-GB"/>
        </w:rPr>
        <w:t>Granger causes</w:t>
      </w:r>
      <w:r w:rsidRPr="00535A4C">
        <w:rPr>
          <w:lang w:val="en-GB"/>
        </w:rPr>
        <w:t xml:space="preserve"> </w:t>
      </w:r>
      <w:proofErr w:type="gramStart"/>
      <w:r w:rsidRPr="00535A4C">
        <w:rPr>
          <w:i/>
          <w:lang w:val="en-GB"/>
        </w:rPr>
        <w:t>X</w:t>
      </w:r>
      <w:r w:rsidRPr="00535A4C">
        <w:rPr>
          <w:i/>
          <w:vertAlign w:val="subscript"/>
          <w:lang w:val="en-GB"/>
        </w:rPr>
        <w:t>T</w:t>
      </w:r>
      <w:r w:rsidRPr="00535A4C">
        <w:rPr>
          <w:i/>
          <w:lang w:val="en-GB"/>
        </w:rPr>
        <w:t xml:space="preserve"> </w:t>
      </w:r>
      <w:r w:rsidR="001F4845">
        <w:rPr>
          <w:lang w:val="en-GB"/>
        </w:rPr>
        <w:t>,</w:t>
      </w:r>
      <w:proofErr w:type="gramEnd"/>
      <w:r w:rsidR="001F4845">
        <w:rPr>
          <w:lang w:val="en-GB"/>
        </w:rPr>
        <w:t xml:space="preserve"> whilst </w:t>
      </w:r>
      <w:r w:rsidRPr="00535A4C">
        <w:rPr>
          <w:lang w:val="en-GB"/>
        </w:rPr>
        <w:t xml:space="preserve">if </w:t>
      </w:r>
      <w:r w:rsidR="002C0676" w:rsidRPr="00535A4C">
        <w:rPr>
          <w:position w:val="-14"/>
          <w:lang w:val="en-GB"/>
        </w:rPr>
        <w:object w:dxaOrig="920" w:dyaOrig="400" w14:anchorId="18948251">
          <v:shape id="_x0000_i1039" type="#_x0000_t75" style="width:46pt;height:20pt" o:ole="">
            <v:imagedata r:id="rId40" o:title=""/>
          </v:shape>
          <o:OLEObject Type="Embed" ProgID="Equation.DSMT4" ShapeID="_x0000_i1039" DrawAspect="Content" ObjectID="_1464887309" r:id="rId41"/>
        </w:object>
      </w:r>
      <w:r w:rsidRPr="00535A4C">
        <w:rPr>
          <w:iCs/>
          <w:sz w:val="22"/>
          <w:szCs w:val="22"/>
          <w:lang w:val="en-GB"/>
        </w:rPr>
        <w:t xml:space="preserve"> </w:t>
      </w:r>
      <w:r w:rsidR="001F4845">
        <w:rPr>
          <w:iCs/>
          <w:sz w:val="22"/>
          <w:szCs w:val="22"/>
          <w:lang w:val="en-GB"/>
        </w:rPr>
        <w:t xml:space="preserve">there is </w:t>
      </w:r>
      <w:r w:rsidRPr="00535A4C">
        <w:rPr>
          <w:iCs/>
          <w:sz w:val="22"/>
          <w:szCs w:val="22"/>
          <w:lang w:val="en-GB"/>
        </w:rPr>
        <w:t xml:space="preserve">no association between </w:t>
      </w:r>
      <w:r w:rsidRPr="00535A4C">
        <w:rPr>
          <w:i/>
          <w:lang w:val="en-GB"/>
        </w:rPr>
        <w:t>X</w:t>
      </w:r>
      <w:r w:rsidRPr="00535A4C">
        <w:rPr>
          <w:i/>
          <w:vertAlign w:val="subscript"/>
          <w:lang w:val="en-GB"/>
        </w:rPr>
        <w:t>T</w:t>
      </w:r>
      <w:r w:rsidRPr="00535A4C">
        <w:rPr>
          <w:i/>
          <w:lang w:val="en-GB"/>
        </w:rPr>
        <w:t xml:space="preserve"> </w:t>
      </w:r>
      <w:r w:rsidRPr="00535A4C">
        <w:rPr>
          <w:lang w:val="en-GB"/>
        </w:rPr>
        <w:t xml:space="preserve">and </w:t>
      </w:r>
      <w:r w:rsidRPr="00535A4C">
        <w:rPr>
          <w:i/>
          <w:lang w:val="en-GB"/>
        </w:rPr>
        <w:t>Y</w:t>
      </w:r>
      <w:r w:rsidRPr="00535A4C">
        <w:rPr>
          <w:i/>
          <w:vertAlign w:val="subscript"/>
          <w:lang w:val="en-GB"/>
        </w:rPr>
        <w:t>T+</w:t>
      </w:r>
      <w:r w:rsidRPr="00535A4C">
        <w:rPr>
          <w:vertAlign w:val="subscript"/>
          <w:lang w:val="en-GB"/>
        </w:rPr>
        <w:t>1</w:t>
      </w:r>
      <w:r w:rsidR="00C23A75">
        <w:rPr>
          <w:lang w:val="en-GB"/>
        </w:rPr>
        <w:t>. B</w:t>
      </w:r>
      <w:r w:rsidRPr="00535A4C">
        <w:rPr>
          <w:lang w:val="en-GB"/>
        </w:rPr>
        <w:t xml:space="preserve">ivariate Granger causality (forecasting feedback) exists if both </w:t>
      </w:r>
      <w:r w:rsidR="002C0676" w:rsidRPr="00535A4C">
        <w:rPr>
          <w:position w:val="-14"/>
          <w:lang w:val="en-GB"/>
        </w:rPr>
        <w:object w:dxaOrig="920" w:dyaOrig="400" w14:anchorId="145819AC">
          <v:shape id="_x0000_i1040" type="#_x0000_t75" style="width:46pt;height:20pt" o:ole="">
            <v:imagedata r:id="rId42" o:title=""/>
          </v:shape>
          <o:OLEObject Type="Embed" ProgID="Equation.DSMT4" ShapeID="_x0000_i1040" DrawAspect="Content" ObjectID="_1464887310" r:id="rId43"/>
        </w:object>
      </w:r>
      <w:r w:rsidRPr="00535A4C">
        <w:rPr>
          <w:iCs/>
          <w:sz w:val="22"/>
          <w:szCs w:val="22"/>
          <w:lang w:val="en-GB"/>
        </w:rPr>
        <w:t xml:space="preserve"> and</w:t>
      </w:r>
      <w:r w:rsidR="002C0676" w:rsidRPr="00535A4C">
        <w:rPr>
          <w:iCs/>
          <w:sz w:val="22"/>
          <w:szCs w:val="22"/>
          <w:lang w:val="en-GB"/>
        </w:rPr>
        <w:t xml:space="preserve"> </w:t>
      </w:r>
      <w:r w:rsidR="002C0676" w:rsidRPr="00535A4C">
        <w:rPr>
          <w:position w:val="-14"/>
          <w:lang w:val="en-GB"/>
        </w:rPr>
        <w:object w:dxaOrig="920" w:dyaOrig="400" w14:anchorId="12DD9076">
          <v:shape id="_x0000_i1041" type="#_x0000_t75" style="width:46pt;height:20pt" o:ole="">
            <v:imagedata r:id="rId44" o:title=""/>
          </v:shape>
          <o:OLEObject Type="Embed" ProgID="Equation.DSMT4" ShapeID="_x0000_i1041" DrawAspect="Content" ObjectID="_1464887311" r:id="rId45"/>
        </w:object>
      </w:r>
      <w:r w:rsidRPr="00535A4C">
        <w:rPr>
          <w:iCs/>
          <w:sz w:val="22"/>
          <w:szCs w:val="22"/>
          <w:lang w:val="en-GB"/>
        </w:rPr>
        <w:t xml:space="preserve">. </w:t>
      </w:r>
      <w:r w:rsidRPr="007B26A3">
        <w:rPr>
          <w:iCs/>
          <w:lang w:val="en-GB"/>
        </w:rPr>
        <w:t>T</w:t>
      </w:r>
      <w:r w:rsidR="00DB1071" w:rsidRPr="007B26A3">
        <w:rPr>
          <w:iCs/>
          <w:lang w:val="en-GB"/>
        </w:rPr>
        <w:t>he</w:t>
      </w:r>
      <w:r w:rsidR="00DB1071" w:rsidRPr="00DB1071">
        <w:rPr>
          <w:b/>
          <w:iCs/>
          <w:color w:val="FF0000"/>
          <w:lang w:val="en-GB"/>
        </w:rPr>
        <w:t xml:space="preserve"> </w:t>
      </w:r>
      <w:r w:rsidR="00DB1071" w:rsidRPr="007B26A3">
        <w:rPr>
          <w:iCs/>
          <w:lang w:val="en-GB"/>
        </w:rPr>
        <w:t xml:space="preserve">forecasting </w:t>
      </w:r>
      <w:r w:rsidR="007B26A3" w:rsidRPr="007B26A3">
        <w:rPr>
          <w:iCs/>
          <w:lang w:val="en-GB"/>
        </w:rPr>
        <w:t>efficiency</w:t>
      </w:r>
      <w:r w:rsidR="00DB1071" w:rsidRPr="007B26A3">
        <w:rPr>
          <w:iCs/>
          <w:lang w:val="en-GB"/>
        </w:rPr>
        <w:t xml:space="preserve"> </w:t>
      </w:r>
      <w:r w:rsidR="00297C05" w:rsidRPr="007B26A3">
        <w:rPr>
          <w:iCs/>
          <w:lang w:val="en-GB"/>
        </w:rPr>
        <w:t>of the MSSA model</w:t>
      </w:r>
      <w:r w:rsidR="00DB1071" w:rsidRPr="00DB1071">
        <w:rPr>
          <w:b/>
          <w:iCs/>
          <w:color w:val="FF0000"/>
          <w:lang w:val="en-GB"/>
        </w:rPr>
        <w:t xml:space="preserve"> </w:t>
      </w:r>
      <w:r w:rsidR="007B26A3">
        <w:rPr>
          <w:iCs/>
          <w:lang w:val="en-GB"/>
        </w:rPr>
        <w:t>is</w:t>
      </w:r>
      <w:r w:rsidR="00DB1071">
        <w:rPr>
          <w:iCs/>
          <w:lang w:val="en-GB"/>
        </w:rPr>
        <w:t xml:space="preserve"> assessed by </w:t>
      </w:r>
      <w:r w:rsidR="007B26A3">
        <w:rPr>
          <w:iCs/>
          <w:lang w:val="en-GB"/>
        </w:rPr>
        <w:t xml:space="preserve">the </w:t>
      </w:r>
      <w:r w:rsidR="00DB1071">
        <w:rPr>
          <w:iCs/>
          <w:lang w:val="en-GB"/>
        </w:rPr>
        <w:t xml:space="preserve">means of the </w:t>
      </w:r>
      <w:r w:rsidRPr="00535A4C">
        <w:rPr>
          <w:iCs/>
          <w:lang w:val="en-GB"/>
        </w:rPr>
        <w:fldChar w:fldCharType="begin"/>
      </w:r>
      <w:r w:rsidR="00C57097" w:rsidRPr="00535A4C">
        <w:rPr>
          <w:iCs/>
          <w:lang w:val="en-GB"/>
        </w:rPr>
        <w:instrText xml:space="preserve"> ADDIN PAPERS2_CITATIONS &lt;citation&gt;&lt;uuid&gt;9DD01AFA-1CC6-448B-94AB-C1124D454512&lt;/uuid&gt;&lt;priority&gt;48&lt;/priority&gt;&lt;publications&gt;&lt;publication&gt;&lt;volume&gt;13&lt;/volume&gt;&lt;startpage&gt;253&lt;/startpage&gt;&lt;title&gt;Comparing Predictive Accuracy&lt;/title&gt;&lt;uuid&gt;BE211F1B-15D5-4F0C-87BB-EF6BE94329FB&lt;/uuid&gt;&lt;subtype&gt;400&lt;/subtype&gt;&lt;endpage&gt;265&lt;/endpage&gt;&lt;type&gt;400&lt;/type&gt;&lt;publication_date&gt;99199500001200000000200000&lt;/publication_date&gt;&lt;bundle&gt;&lt;publication&gt;&lt;title&gt;Journal of Business &amp;amp;amp; Economic Statistics&lt;/title&gt;&lt;type&gt;-100&lt;/type&gt;&lt;subtype&gt;-100&lt;/subtype&gt;&lt;uuid&gt;314A471D-4F7F-4A48-845B-CF40D75FEF9C&lt;/uuid&gt;&lt;/publication&gt;&lt;/bundle&gt;&lt;authors&gt;&lt;author&gt;&lt;firstName&gt;Roberto&lt;/firstName&gt;&lt;middleNames&gt;S&lt;/middleNames&gt;&lt;lastName&gt;Mariano&lt;/lastName&gt;&lt;/author&gt;&lt;author&gt;&lt;firstName&gt;Francis&lt;/firstName&gt;&lt;middleNames&gt;X&lt;/middleNames&gt;&lt;lastName&gt;Diebold&lt;/lastName&gt;&lt;/author&gt;&lt;/authors&gt;&lt;/publication&gt;&lt;/publications&gt;&lt;cites&gt;&lt;/cites&gt;&lt;/citation&gt;</w:instrText>
      </w:r>
      <w:r w:rsidRPr="00535A4C">
        <w:rPr>
          <w:iCs/>
          <w:lang w:val="en-GB"/>
        </w:rPr>
        <w:fldChar w:fldCharType="separate"/>
      </w:r>
      <w:r w:rsidR="00A95881" w:rsidRPr="00535A4C">
        <w:rPr>
          <w:lang w:val="en-GB"/>
        </w:rPr>
        <w:t>Mariano and</w:t>
      </w:r>
      <w:r w:rsidRPr="00535A4C">
        <w:rPr>
          <w:lang w:val="en-GB"/>
        </w:rPr>
        <w:t xml:space="preserve"> Diebold </w:t>
      </w:r>
      <w:r w:rsidR="00AC48D4">
        <w:rPr>
          <w:lang w:val="en-GB"/>
        </w:rPr>
        <w:t>(</w:t>
      </w:r>
      <w:r w:rsidRPr="00535A4C">
        <w:rPr>
          <w:lang w:val="en-GB"/>
        </w:rPr>
        <w:t>1995)</w:t>
      </w:r>
      <w:r w:rsidRPr="00535A4C">
        <w:rPr>
          <w:iCs/>
          <w:lang w:val="en-GB"/>
        </w:rPr>
        <w:fldChar w:fldCharType="end"/>
      </w:r>
      <w:r w:rsidR="00A95881" w:rsidRPr="00535A4C">
        <w:rPr>
          <w:iCs/>
          <w:lang w:val="en-GB"/>
        </w:rPr>
        <w:t xml:space="preserve"> </w:t>
      </w:r>
      <w:r w:rsidRPr="00535A4C">
        <w:rPr>
          <w:iCs/>
          <w:lang w:val="en-GB"/>
        </w:rPr>
        <w:t xml:space="preserve">test </w:t>
      </w:r>
      <w:r w:rsidR="00DB1071">
        <w:rPr>
          <w:iCs/>
          <w:lang w:val="en-GB"/>
        </w:rPr>
        <w:t>specified as</w:t>
      </w:r>
      <w:r w:rsidR="00DB1071" w:rsidRPr="00DB1071">
        <w:t xml:space="preserve"> </w:t>
      </w:r>
      <w:r w:rsidR="00AC48D4">
        <w:t>in</w:t>
      </w:r>
      <w:r w:rsidR="00AC48D4">
        <w:rPr>
          <w:iCs/>
          <w:lang w:val="en-GB"/>
        </w:rPr>
        <w:t xml:space="preserve"> </w:t>
      </w:r>
      <w:proofErr w:type="spellStart"/>
      <w:r w:rsidR="00DB1071" w:rsidRPr="00DB1071">
        <w:rPr>
          <w:iCs/>
          <w:lang w:val="en-GB"/>
        </w:rPr>
        <w:t>Hassani</w:t>
      </w:r>
      <w:proofErr w:type="spellEnd"/>
      <w:r w:rsidR="00DB1071" w:rsidRPr="00DB1071">
        <w:rPr>
          <w:iCs/>
          <w:lang w:val="en-GB"/>
        </w:rPr>
        <w:t xml:space="preserve"> et al. </w:t>
      </w:r>
      <w:r w:rsidR="00AC48D4">
        <w:rPr>
          <w:iCs/>
          <w:lang w:val="en-GB"/>
        </w:rPr>
        <w:t>(</w:t>
      </w:r>
      <w:r w:rsidR="00DB1071" w:rsidRPr="00DB1071">
        <w:rPr>
          <w:iCs/>
          <w:lang w:val="en-GB"/>
        </w:rPr>
        <w:t>2010)</w:t>
      </w:r>
      <w:r w:rsidR="00DB1071">
        <w:rPr>
          <w:iCs/>
          <w:lang w:val="en-GB"/>
        </w:rPr>
        <w:t xml:space="preserve"> :</w:t>
      </w:r>
    </w:p>
    <w:p w14:paraId="58E71C24" w14:textId="77777777" w:rsidR="00AB6A88" w:rsidRPr="00535A4C" w:rsidRDefault="00AB6A88" w:rsidP="00660757">
      <w:pPr>
        <w:pStyle w:val="MTDisplayEquation"/>
        <w:tabs>
          <w:tab w:val="clear" w:pos="9360"/>
          <w:tab w:val="right" w:pos="9000"/>
        </w:tabs>
        <w:jc w:val="both"/>
        <w:rPr>
          <w:lang w:val="en-GB"/>
        </w:rPr>
      </w:pPr>
      <w:r w:rsidRPr="00535A4C">
        <w:rPr>
          <w:lang w:val="en-GB"/>
        </w:rPr>
        <w:lastRenderedPageBreak/>
        <w:tab/>
      </w:r>
      <w:r w:rsidR="00AC48D4" w:rsidRPr="00AC48D4">
        <w:rPr>
          <w:position w:val="-36"/>
          <w:lang w:val="en-GB"/>
        </w:rPr>
        <w:object w:dxaOrig="2980" w:dyaOrig="820" w14:anchorId="58FBC274">
          <v:shape id="_x0000_i1042" type="#_x0000_t75" style="width:149pt;height:41pt" o:ole="">
            <v:imagedata r:id="rId46" o:title=""/>
          </v:shape>
          <o:OLEObject Type="Embed" ProgID="Equation.DSMT4" ShapeID="_x0000_i1042" DrawAspect="Content" ObjectID="_1464887312" r:id="rId47"/>
        </w:object>
      </w:r>
      <w:r w:rsidRPr="00535A4C">
        <w:rPr>
          <w:lang w:val="en-GB"/>
        </w:rPr>
        <w:t xml:space="preserve"> </w:t>
      </w:r>
      <w:r w:rsidRPr="00535A4C">
        <w:rPr>
          <w:lang w:val="en-GB"/>
        </w:rPr>
        <w:tab/>
        <w:t>(11)</w:t>
      </w:r>
    </w:p>
    <w:p w14:paraId="352F7436" w14:textId="77777777" w:rsidR="00AB6A88" w:rsidRPr="0053376C" w:rsidRDefault="00AB6A88" w:rsidP="0053376C">
      <w:pPr>
        <w:pStyle w:val="BodyText"/>
        <w:jc w:val="both"/>
        <w:rPr>
          <w:lang w:val="en-GB"/>
        </w:rPr>
      </w:pPr>
      <w:proofErr w:type="gramStart"/>
      <w:r w:rsidRPr="00535A4C">
        <w:rPr>
          <w:lang w:val="en-GB"/>
        </w:rPr>
        <w:t>with</w:t>
      </w:r>
      <w:proofErr w:type="gramEnd"/>
      <w:r w:rsidRPr="00535A4C">
        <w:rPr>
          <w:lang w:val="en-GB"/>
        </w:rPr>
        <w:t xml:space="preserve"> </w:t>
      </w:r>
      <w:r w:rsidR="00642372" w:rsidRPr="00535A4C">
        <w:rPr>
          <w:position w:val="-10"/>
          <w:lang w:val="en-GB"/>
        </w:rPr>
        <w:object w:dxaOrig="420" w:dyaOrig="360" w14:anchorId="4D5FAFD6">
          <v:shape id="_x0000_i1043" type="#_x0000_t75" style="width:21pt;height:18pt" o:ole="">
            <v:imagedata r:id="rId48" o:title=""/>
          </v:shape>
          <o:OLEObject Type="Embed" ProgID="Equation.DSMT4" ShapeID="_x0000_i1043" DrawAspect="Content" ObjectID="_1464887313" r:id="rId49"/>
        </w:object>
      </w:r>
      <w:r w:rsidR="00B672D2" w:rsidRPr="00535A4C">
        <w:rPr>
          <w:lang w:val="en-GB"/>
        </w:rPr>
        <w:t xml:space="preserve"> </w:t>
      </w:r>
      <w:r w:rsidRPr="00535A4C">
        <w:rPr>
          <w:lang w:val="en-GB"/>
        </w:rPr>
        <w:t xml:space="preserve">being </w:t>
      </w:r>
      <w:r w:rsidR="00DB1071">
        <w:rPr>
          <w:lang w:val="en-GB"/>
        </w:rPr>
        <w:t xml:space="preserve">the </w:t>
      </w:r>
      <w:r w:rsidRPr="00535A4C">
        <w:rPr>
          <w:lang w:val="en-GB"/>
        </w:rPr>
        <w:t xml:space="preserve">sample mean of the vector </w:t>
      </w:r>
      <w:proofErr w:type="spellStart"/>
      <w:r w:rsidRPr="00535A4C">
        <w:rPr>
          <w:i/>
          <w:lang w:val="en-GB"/>
        </w:rPr>
        <w:t>D</w:t>
      </w:r>
      <w:r w:rsidRPr="00535A4C">
        <w:rPr>
          <w:i/>
          <w:vertAlign w:val="subscript"/>
          <w:lang w:val="en-GB"/>
        </w:rPr>
        <w:t>t</w:t>
      </w:r>
      <w:proofErr w:type="spellEnd"/>
      <w:r w:rsidRPr="00535A4C">
        <w:rPr>
          <w:i/>
          <w:lang w:val="en-GB"/>
        </w:rPr>
        <w:t xml:space="preserve"> </w:t>
      </w:r>
      <w:r w:rsidRPr="00535A4C">
        <w:rPr>
          <w:lang w:val="en-GB"/>
        </w:rPr>
        <w:t xml:space="preserve">and </w:t>
      </w:r>
      <w:r w:rsidR="00297C05" w:rsidRPr="00535A4C">
        <w:rPr>
          <w:position w:val="-10"/>
          <w:lang w:val="en-GB"/>
        </w:rPr>
        <w:object w:dxaOrig="760" w:dyaOrig="420" w14:anchorId="6AE97A75">
          <v:shape id="_x0000_i1044" type="#_x0000_t75" style="width:38pt;height:21pt" o:ole="">
            <v:imagedata r:id="rId50" o:title=""/>
          </v:shape>
          <o:OLEObject Type="Embed" ProgID="Equation.DSMT4" ShapeID="_x0000_i1044" DrawAspect="Content" ObjectID="_1464887314" r:id="rId51"/>
        </w:object>
      </w:r>
      <w:r w:rsidR="00B672D2" w:rsidRPr="00535A4C">
        <w:rPr>
          <w:lang w:val="en-GB"/>
        </w:rPr>
        <w:t xml:space="preserve"> </w:t>
      </w:r>
      <w:r w:rsidR="00DB1071">
        <w:rPr>
          <w:lang w:val="en-GB"/>
        </w:rPr>
        <w:t xml:space="preserve">the </w:t>
      </w:r>
      <w:proofErr w:type="spellStart"/>
      <w:r w:rsidRPr="00535A4C">
        <w:rPr>
          <w:lang w:val="en-GB"/>
        </w:rPr>
        <w:t>autocovariance</w:t>
      </w:r>
      <w:proofErr w:type="spellEnd"/>
      <w:r w:rsidRPr="00535A4C">
        <w:rPr>
          <w:lang w:val="en-GB"/>
        </w:rPr>
        <w:t xml:space="preserve"> of </w:t>
      </w:r>
      <w:r w:rsidRPr="00535A4C">
        <w:rPr>
          <w:i/>
          <w:lang w:val="en-GB"/>
        </w:rPr>
        <w:t>D</w:t>
      </w:r>
      <w:r w:rsidRPr="00535A4C">
        <w:rPr>
          <w:i/>
          <w:vertAlign w:val="subscript"/>
          <w:lang w:val="en-GB"/>
        </w:rPr>
        <w:t>t</w:t>
      </w:r>
      <w:r w:rsidRPr="00535A4C">
        <w:rPr>
          <w:i/>
          <w:lang w:val="en-GB"/>
        </w:rPr>
        <w:t xml:space="preserve"> </w:t>
      </w:r>
      <w:r w:rsidR="0053376C">
        <w:rPr>
          <w:lang w:val="en-GB"/>
        </w:rPr>
        <w:t xml:space="preserve">. </w:t>
      </w:r>
    </w:p>
    <w:p w14:paraId="7889FB01" w14:textId="77777777" w:rsidR="00AB6A88" w:rsidRPr="00535A4C" w:rsidRDefault="0053376C" w:rsidP="00E8204B">
      <w:pPr>
        <w:pStyle w:val="BodyText"/>
        <w:jc w:val="both"/>
        <w:rPr>
          <w:lang w:val="en-GB"/>
        </w:rPr>
      </w:pPr>
      <w:r>
        <w:rPr>
          <w:lang w:val="en-GB"/>
        </w:rPr>
        <w:t xml:space="preserve">Several empirical </w:t>
      </w:r>
      <w:r w:rsidR="00AB6A88" w:rsidRPr="00535A4C">
        <w:rPr>
          <w:lang w:val="en-GB"/>
        </w:rPr>
        <w:t xml:space="preserve">issues have to be addressed in </w:t>
      </w:r>
      <w:r>
        <w:rPr>
          <w:lang w:val="en-GB"/>
        </w:rPr>
        <w:t>this context</w:t>
      </w:r>
      <w:r w:rsidR="00AB6A88" w:rsidRPr="00535A4C">
        <w:rPr>
          <w:lang w:val="en-GB"/>
        </w:rPr>
        <w:t xml:space="preserve">. </w:t>
      </w:r>
      <w:r>
        <w:rPr>
          <w:lang w:val="en-GB"/>
        </w:rPr>
        <w:t xml:space="preserve">For instance, </w:t>
      </w:r>
      <w:r w:rsidR="00AB6A88" w:rsidRPr="00535A4C">
        <w:rPr>
          <w:lang w:val="en-GB"/>
        </w:rPr>
        <w:fldChar w:fldCharType="begin"/>
      </w:r>
      <w:r w:rsidR="00C57097" w:rsidRPr="00535A4C">
        <w:rPr>
          <w:lang w:val="en-GB"/>
        </w:rPr>
        <w:instrText xml:space="preserve"> ADDIN PAPERS2_CITATIONS &lt;citation&gt;&lt;uuid&gt;FC599C49-7C0B-4E9F-B092-2A0F1BA1C452&lt;/uuid&gt;&lt;priority&gt;50&lt;/priority&gt;&lt;publications&gt;&lt;publication&gt;&lt;uuid&gt;89545920-C903-45E0-82EC-232725BAFDA4&lt;/uuid&gt;&lt;volume&gt;84&lt;/volume&gt;&lt;startpage&gt;036206&lt;/startpage&gt;&lt;publication_date&gt;99201108311200000000222000&lt;/publication_date&gt;&lt;url&gt;http://eutils.ncbi.nlm.nih.gov/entrez/eutils/elink.fcgi?dbfrom=pubmed&amp;amp;id=22060474&amp;amp;retmode=ref&amp;amp;cmd=prlinks&lt;/url&gt;&lt;type&gt;400&lt;/type&gt;&lt;title&gt;Multivariate singular spectrum analysis and the road to phase synchronization.&lt;/title&gt;&lt;submission_date&gt;99201103281200000000222000&lt;/submission_date&gt;&lt;number&gt;3 Pt 2&lt;/number&gt;&lt;institution&gt;Geosciences Department, Ecole Normale Supérieure, Paris, France. andreas.groth@ens.fr&lt;/institution&gt;&lt;subtype&gt;400&lt;/subtype&gt;&lt;endpage&gt;036206&lt;/endpage&gt;&lt;bundle&gt;&lt;publication&gt;&lt;title&gt;Physical Review E&lt;/title&gt;&lt;type&gt;-100&lt;/type&gt;&lt;subtype&gt;-100&lt;/subtype&gt;&lt;uuid&gt;2878BBBB-210D-4408-8492-EDBF7C86CB26&lt;/uuid&gt;&lt;/publication&gt;&lt;/bundle&gt;&lt;authors&gt;&lt;author&gt;&lt;firstName&gt;Andreas&lt;/firstName&gt;&lt;middleNames&gt;A&lt;/middleNames&gt;&lt;lastName&gt;Groth&lt;/lastName&gt;&lt;/author&gt;&lt;author&gt;&lt;firstName&gt;Michael&lt;/firstName&gt;&lt;middleNames&gt;M&lt;/middleNames&gt;&lt;lastName&gt;Ghil&lt;/lastName&gt;&lt;/author&gt;&lt;/authors&gt;&lt;/publication&gt;&lt;/publications&gt;&lt;cites&gt;&lt;/cites&gt;&lt;/citation&gt;</w:instrText>
      </w:r>
      <w:r w:rsidR="00AB6A88" w:rsidRPr="00535A4C">
        <w:rPr>
          <w:lang w:val="en-GB"/>
        </w:rPr>
        <w:fldChar w:fldCharType="separate"/>
      </w:r>
      <w:r w:rsidR="00A95881" w:rsidRPr="00535A4C">
        <w:rPr>
          <w:lang w:val="en-GB"/>
        </w:rPr>
        <w:t>Groth and</w:t>
      </w:r>
      <w:r w:rsidR="00AB6A88" w:rsidRPr="00535A4C">
        <w:rPr>
          <w:lang w:val="en-GB"/>
        </w:rPr>
        <w:t xml:space="preserve"> Ghil </w:t>
      </w:r>
      <w:r w:rsidR="00F31496" w:rsidRPr="00535A4C">
        <w:rPr>
          <w:lang w:val="en-GB"/>
        </w:rPr>
        <w:t>(</w:t>
      </w:r>
      <w:r w:rsidR="00AB6A88" w:rsidRPr="00535A4C">
        <w:rPr>
          <w:lang w:val="en-GB"/>
        </w:rPr>
        <w:t>2011)</w:t>
      </w:r>
      <w:r w:rsidR="00AB6A88" w:rsidRPr="00535A4C">
        <w:rPr>
          <w:lang w:val="en-GB"/>
        </w:rPr>
        <w:fldChar w:fldCharType="end"/>
      </w:r>
      <w:r w:rsidR="00AB6A88" w:rsidRPr="00535A4C">
        <w:rPr>
          <w:lang w:val="en-GB"/>
        </w:rPr>
        <w:t xml:space="preserve"> </w:t>
      </w:r>
      <w:r w:rsidR="00267831">
        <w:rPr>
          <w:lang w:val="en-GB"/>
        </w:rPr>
        <w:t>highlight the difficulty of i</w:t>
      </w:r>
      <w:r>
        <w:rPr>
          <w:lang w:val="en-GB"/>
        </w:rPr>
        <w:t xml:space="preserve">dentifying </w:t>
      </w:r>
      <w:r w:rsidR="00AB6A88" w:rsidRPr="00535A4C">
        <w:rPr>
          <w:lang w:val="en-GB"/>
        </w:rPr>
        <w:t xml:space="preserve"> the oscillation pattern</w:t>
      </w:r>
      <w:r w:rsidR="00C23A75">
        <w:rPr>
          <w:lang w:val="en-GB"/>
        </w:rPr>
        <w:t>s</w:t>
      </w:r>
      <w:r w:rsidR="00AB6A88" w:rsidRPr="00535A4C">
        <w:rPr>
          <w:lang w:val="en-GB"/>
        </w:rPr>
        <w:t xml:space="preserve"> when </w:t>
      </w:r>
      <w:r w:rsidR="00267831">
        <w:rPr>
          <w:lang w:val="en-GB"/>
        </w:rPr>
        <w:t xml:space="preserve">the </w:t>
      </w:r>
      <w:r w:rsidR="00AB6A88" w:rsidRPr="00535A4C">
        <w:rPr>
          <w:lang w:val="en-GB"/>
        </w:rPr>
        <w:t xml:space="preserve">corresponding eigenvalues are similar in size. </w:t>
      </w:r>
      <w:r w:rsidR="00267831">
        <w:rPr>
          <w:lang w:val="en-GB"/>
        </w:rPr>
        <w:t xml:space="preserve">The </w:t>
      </w:r>
      <w:r w:rsidR="00AB6A88" w:rsidRPr="00535A4C">
        <w:rPr>
          <w:lang w:val="en-GB"/>
        </w:rPr>
        <w:t xml:space="preserve">VARIMAX rotation for </w:t>
      </w:r>
      <w:r w:rsidR="00267831">
        <w:rPr>
          <w:lang w:val="en-GB"/>
        </w:rPr>
        <w:t xml:space="preserve">the </w:t>
      </w:r>
      <w:r w:rsidR="00AB6A88" w:rsidRPr="00535A4C">
        <w:rPr>
          <w:lang w:val="en-GB"/>
        </w:rPr>
        <w:t>MSSA</w:t>
      </w:r>
      <w:r w:rsidR="00B672D2" w:rsidRPr="00535A4C">
        <w:rPr>
          <w:lang w:val="en-GB"/>
        </w:rPr>
        <w:t xml:space="preserve"> algorithm is used </w:t>
      </w:r>
      <w:r w:rsidR="00C23A75">
        <w:rPr>
          <w:lang w:val="en-GB"/>
        </w:rPr>
        <w:t xml:space="preserve">here </w:t>
      </w:r>
      <w:r w:rsidR="00B672D2" w:rsidRPr="00535A4C">
        <w:rPr>
          <w:lang w:val="en-GB"/>
        </w:rPr>
        <w:t>to address this issue</w:t>
      </w:r>
      <w:r w:rsidR="00AB6A88" w:rsidRPr="00535A4C">
        <w:rPr>
          <w:lang w:val="en-GB"/>
        </w:rPr>
        <w:t xml:space="preserve">. </w:t>
      </w:r>
    </w:p>
    <w:p w14:paraId="606F48D3" w14:textId="77777777" w:rsidR="00297C05" w:rsidRPr="00C84D63" w:rsidRDefault="00AB6A88" w:rsidP="008A730C">
      <w:pPr>
        <w:pStyle w:val="BodyText"/>
        <w:jc w:val="both"/>
        <w:rPr>
          <w:lang w:val="en-GB"/>
        </w:rPr>
      </w:pPr>
      <w:r w:rsidRPr="00535A4C">
        <w:rPr>
          <w:lang w:val="en-GB"/>
        </w:rPr>
        <w:t>The number of observations (</w:t>
      </w:r>
      <w:r w:rsidRPr="00535A4C">
        <w:rPr>
          <w:i/>
          <w:lang w:val="en-GB"/>
        </w:rPr>
        <w:t>n</w:t>
      </w:r>
      <w:r w:rsidRPr="00535A4C">
        <w:rPr>
          <w:lang w:val="en-GB"/>
        </w:rPr>
        <w:t xml:space="preserve">) for all series </w:t>
      </w:r>
      <w:r w:rsidRPr="00535A4C">
        <w:rPr>
          <w:i/>
          <w:lang w:val="en-GB"/>
        </w:rPr>
        <w:t xml:space="preserve">n </w:t>
      </w:r>
      <w:r w:rsidRPr="00535A4C">
        <w:rPr>
          <w:lang w:val="en-GB"/>
        </w:rPr>
        <w:t>= 213 satisf</w:t>
      </w:r>
      <w:r w:rsidR="00267831">
        <w:rPr>
          <w:lang w:val="en-GB"/>
        </w:rPr>
        <w:t xml:space="preserve">ies the </w:t>
      </w:r>
      <w:r w:rsidRPr="00535A4C">
        <w:rPr>
          <w:lang w:val="en-GB"/>
        </w:rPr>
        <w:t xml:space="preserve">condition set by </w:t>
      </w:r>
      <w:r w:rsidRPr="00535A4C">
        <w:rPr>
          <w:lang w:val="en-GB"/>
        </w:rPr>
        <w:fldChar w:fldCharType="begin"/>
      </w:r>
      <w:r w:rsidR="00C57097" w:rsidRPr="00535A4C">
        <w:rPr>
          <w:lang w:val="en-GB"/>
        </w:rPr>
        <w:instrText xml:space="preserve"> ADDIN PAPERS2_CITATIONS &lt;citation&gt;&lt;uuid&gt;61173582-7599-4934-A6E7-E5995E776D01&lt;/uuid&gt;&lt;priority&gt;51&lt;/priority&gt;&lt;publications&gt;&lt;publication&gt;&lt;uuid&gt;CB85BFB3-E6A8-410A-B9A8-68D5072CFCE9&lt;/uuid&gt;&lt;publication_date&gt;99196400001200000000200000&lt;/publication_date&gt;&lt;title&gt;Spectral analysis of economic time series.&lt;/title&gt;&lt;type&gt;400&lt;/type&gt;&lt;subtype&gt;400&lt;/subtype&gt;&lt;publisher&gt;Princeton: Univ. Press.&lt;/publisher&gt;&lt;bundle&gt;&lt;publication&gt;&lt;publisher&gt;Princeton: Univ. Press.&lt;/publisher&gt;&lt;title&gt;Spectral analysis of economic time series.&lt;/title&gt;&lt;type&gt;-100&lt;/type&gt;&lt;subtype&gt;-100&lt;/subtype&gt;&lt;uuid&gt;404208FA-B898-4B40-9677-6B0253BF949C&lt;/uuid&gt;&lt;/publication&gt;&lt;/bundle&gt;&lt;authors&gt;&lt;author&gt;&lt;firstName&gt;Clive&lt;/firstName&gt;&lt;middleNames&gt;William John&lt;/middleNames&gt;&lt;lastName&gt;Granger&lt;/lastName&gt;&lt;/author&gt;&lt;author&gt;&lt;firstName&gt;Michio&lt;/firstName&gt;&lt;lastName&gt;Hatanaka&lt;/lastName&gt;&lt;/author&gt;&lt;/authors&gt;&lt;/publication&gt;&lt;/publications&gt;&lt;cites&gt;&lt;/cites&gt;&lt;/citation&gt;</w:instrText>
      </w:r>
      <w:r w:rsidRPr="00535A4C">
        <w:rPr>
          <w:lang w:val="en-GB"/>
        </w:rPr>
        <w:fldChar w:fldCharType="separate"/>
      </w:r>
      <w:r w:rsidR="00A95881" w:rsidRPr="00535A4C">
        <w:rPr>
          <w:lang w:val="en-GB"/>
        </w:rPr>
        <w:t>Granger and</w:t>
      </w:r>
      <w:r w:rsidRPr="00535A4C">
        <w:rPr>
          <w:lang w:val="en-GB"/>
        </w:rPr>
        <w:t xml:space="preserve"> Hatanaka </w:t>
      </w:r>
      <w:r w:rsidR="00297C05">
        <w:rPr>
          <w:lang w:val="en-GB"/>
        </w:rPr>
        <w:t>(</w:t>
      </w:r>
      <w:r w:rsidRPr="00535A4C">
        <w:rPr>
          <w:lang w:val="en-GB"/>
        </w:rPr>
        <w:t>1964)</w:t>
      </w:r>
      <w:r w:rsidRPr="00535A4C">
        <w:rPr>
          <w:lang w:val="en-GB"/>
        </w:rPr>
        <w:fldChar w:fldCharType="end"/>
      </w:r>
      <w:r w:rsidR="00F31496" w:rsidRPr="00535A4C">
        <w:rPr>
          <w:lang w:val="en-GB"/>
        </w:rPr>
        <w:t xml:space="preserve"> </w:t>
      </w:r>
      <w:r w:rsidRPr="00535A4C">
        <w:rPr>
          <w:lang w:val="en-GB"/>
        </w:rPr>
        <w:t xml:space="preserve">for </w:t>
      </w:r>
      <w:r w:rsidR="00C23A75">
        <w:rPr>
          <w:lang w:val="en-GB"/>
        </w:rPr>
        <w:t xml:space="preserve">the </w:t>
      </w:r>
      <w:r w:rsidRPr="00535A4C">
        <w:rPr>
          <w:lang w:val="en-GB"/>
        </w:rPr>
        <w:t xml:space="preserve">minimum </w:t>
      </w:r>
      <w:r w:rsidRPr="00535A4C">
        <w:rPr>
          <w:i/>
          <w:lang w:val="en-GB"/>
        </w:rPr>
        <w:t>n</w:t>
      </w:r>
      <w:r w:rsidRPr="00535A4C">
        <w:rPr>
          <w:lang w:val="en-GB"/>
        </w:rPr>
        <w:t>. Since spectral analysis (</w:t>
      </w:r>
      <w:proofErr w:type="spellStart"/>
      <w:r w:rsidRPr="00535A4C">
        <w:rPr>
          <w:lang w:val="en-GB"/>
        </w:rPr>
        <w:t>Toeplitz</w:t>
      </w:r>
      <w:proofErr w:type="spellEnd"/>
      <w:r w:rsidRPr="00535A4C">
        <w:rPr>
          <w:lang w:val="en-GB"/>
        </w:rPr>
        <w:t xml:space="preserve"> structure) </w:t>
      </w:r>
      <w:r w:rsidR="00267831">
        <w:rPr>
          <w:lang w:val="en-GB"/>
        </w:rPr>
        <w:t xml:space="preserve">assumes </w:t>
      </w:r>
      <w:proofErr w:type="spellStart"/>
      <w:r w:rsidR="00267831">
        <w:rPr>
          <w:lang w:val="en-GB"/>
        </w:rPr>
        <w:t>s</w:t>
      </w:r>
      <w:r w:rsidRPr="00535A4C">
        <w:rPr>
          <w:lang w:val="en-GB"/>
        </w:rPr>
        <w:t>tationar</w:t>
      </w:r>
      <w:r w:rsidR="00267831">
        <w:rPr>
          <w:lang w:val="en-GB"/>
        </w:rPr>
        <w:t>it</w:t>
      </w:r>
      <w:r w:rsidRPr="00535A4C">
        <w:rPr>
          <w:lang w:val="en-GB"/>
        </w:rPr>
        <w:t>y</w:t>
      </w:r>
      <w:proofErr w:type="spellEnd"/>
      <w:r w:rsidRPr="00535A4C">
        <w:rPr>
          <w:lang w:val="en-GB"/>
        </w:rPr>
        <w:t xml:space="preserve"> </w:t>
      </w:r>
      <w:r w:rsidR="00267831">
        <w:rPr>
          <w:lang w:val="en-GB"/>
        </w:rPr>
        <w:t>of the series</w:t>
      </w:r>
      <w:r w:rsidRPr="00535A4C">
        <w:rPr>
          <w:lang w:val="en-GB"/>
        </w:rPr>
        <w:t xml:space="preserve">, all </w:t>
      </w:r>
      <w:r w:rsidR="00267831">
        <w:rPr>
          <w:lang w:val="en-GB"/>
        </w:rPr>
        <w:t xml:space="preserve">of them were </w:t>
      </w:r>
      <w:proofErr w:type="spellStart"/>
      <w:r w:rsidR="00267831">
        <w:rPr>
          <w:lang w:val="en-GB"/>
        </w:rPr>
        <w:t>centered</w:t>
      </w:r>
      <w:proofErr w:type="spellEnd"/>
      <w:r w:rsidR="00267831">
        <w:rPr>
          <w:lang w:val="en-GB"/>
        </w:rPr>
        <w:t>, normalise</w:t>
      </w:r>
      <w:r w:rsidRPr="00535A4C">
        <w:rPr>
          <w:lang w:val="en-GB"/>
        </w:rPr>
        <w:t>d (</w:t>
      </w:r>
      <w:r w:rsidR="00267831">
        <w:rPr>
          <w:lang w:val="en-GB"/>
        </w:rPr>
        <w:t xml:space="preserve">with the </w:t>
      </w:r>
      <w:r w:rsidRPr="00535A4C">
        <w:rPr>
          <w:lang w:val="en-GB"/>
        </w:rPr>
        <w:t xml:space="preserve">mean removed and divided by </w:t>
      </w:r>
      <w:r w:rsidR="00267831">
        <w:rPr>
          <w:lang w:val="en-GB"/>
        </w:rPr>
        <w:t xml:space="preserve">the </w:t>
      </w:r>
      <w:r w:rsidRPr="00535A4C">
        <w:rPr>
          <w:lang w:val="en-GB"/>
        </w:rPr>
        <w:t>standard deviation) and differ</w:t>
      </w:r>
      <w:r w:rsidR="00A95881" w:rsidRPr="00535A4C">
        <w:rPr>
          <w:lang w:val="en-GB"/>
        </w:rPr>
        <w:t xml:space="preserve">enced to achieve </w:t>
      </w:r>
      <w:proofErr w:type="spellStart"/>
      <w:r w:rsidR="00A95881" w:rsidRPr="00535A4C">
        <w:rPr>
          <w:lang w:val="en-GB"/>
        </w:rPr>
        <w:t>stationarity</w:t>
      </w:r>
      <w:proofErr w:type="spellEnd"/>
      <w:r w:rsidR="00A95881" w:rsidRPr="00535A4C">
        <w:rPr>
          <w:lang w:val="en-GB"/>
        </w:rPr>
        <w:t xml:space="preserve">. </w:t>
      </w:r>
      <w:r w:rsidRPr="00535A4C">
        <w:rPr>
          <w:lang w:val="en-GB"/>
        </w:rPr>
        <w:t xml:space="preserve">Following </w:t>
      </w:r>
      <w:r w:rsidRPr="00535A4C">
        <w:rPr>
          <w:lang w:val="en-GB"/>
        </w:rPr>
        <w:fldChar w:fldCharType="begin"/>
      </w:r>
      <w:r w:rsidR="00C57097" w:rsidRPr="00535A4C">
        <w:rPr>
          <w:lang w:val="en-GB"/>
        </w:rPr>
        <w:instrText xml:space="preserve"> ADDIN PAPERS2_CITATIONS &lt;citation&gt;&lt;uuid&gt;D86A0956-4770-428C-82CB-ED530F3F16D0&lt;/uuid&gt;&lt;priority&gt;52&lt;/priority&gt;&lt;publications&gt;&lt;publication&gt;&lt;uuid&gt;CB85BFB3-E6A8-410A-B9A8-68D5072CFCE9&lt;/uuid&gt;&lt;publication_date&gt;99196400001200000000200000&lt;/publication_date&gt;&lt;title&gt;Spectral analysis of economic time series.&lt;/title&gt;&lt;type&gt;400&lt;/type&gt;&lt;subtype&gt;400&lt;/subtype&gt;&lt;publisher&gt;Princeton: Univ. Press.&lt;/publisher&gt;&lt;bundle&gt;&lt;publication&gt;&lt;publisher&gt;Princeton: Univ. Press.&lt;/publisher&gt;&lt;title&gt;Spectral analysis of economic time series.&lt;/title&gt;&lt;type&gt;-100&lt;/type&gt;&lt;subtype&gt;-100&lt;/subtype&gt;&lt;uuid&gt;404208FA-B898-4B40-9677-6B0253BF949C&lt;/uuid&gt;&lt;/publication&gt;&lt;/bundle&gt;&lt;authors&gt;&lt;author&gt;&lt;firstName&gt;Clive&lt;/firstName&gt;&lt;middleNames&gt;William John&lt;/middleNames&gt;&lt;lastName&gt;Granger&lt;/lastName&gt;&lt;/author&gt;&lt;author&gt;&lt;firstName&gt;Michio&lt;/firstName&gt;&lt;lastName&gt;Hatanaka&lt;/lastName&gt;&lt;/author&gt;&lt;/authors&gt;&lt;/publication&gt;&lt;/publications&gt;&lt;cites&gt;&lt;/cites&gt;&lt;/citation&gt;</w:instrText>
      </w:r>
      <w:r w:rsidRPr="00535A4C">
        <w:rPr>
          <w:lang w:val="en-GB"/>
        </w:rPr>
        <w:fldChar w:fldCharType="separate"/>
      </w:r>
      <w:r w:rsidR="00A95881" w:rsidRPr="00535A4C">
        <w:rPr>
          <w:lang w:val="en-GB"/>
        </w:rPr>
        <w:t xml:space="preserve">Granger and Hatanaka </w:t>
      </w:r>
      <w:r w:rsidR="00297C05">
        <w:rPr>
          <w:lang w:val="en-GB"/>
        </w:rPr>
        <w:t>(</w:t>
      </w:r>
      <w:r w:rsidRPr="00535A4C">
        <w:rPr>
          <w:lang w:val="en-GB"/>
        </w:rPr>
        <w:t>1964)</w:t>
      </w:r>
      <w:r w:rsidRPr="00535A4C">
        <w:rPr>
          <w:lang w:val="en-GB"/>
        </w:rPr>
        <w:fldChar w:fldCharType="end"/>
      </w:r>
      <w:r w:rsidRPr="00535A4C">
        <w:rPr>
          <w:lang w:val="en-GB"/>
        </w:rPr>
        <w:t>,</w:t>
      </w:r>
      <w:r w:rsidR="00A95881" w:rsidRPr="00535A4C">
        <w:rPr>
          <w:lang w:val="en-GB"/>
        </w:rPr>
        <w:t xml:space="preserve"> </w:t>
      </w:r>
      <w:r w:rsidRPr="00535A4C">
        <w:rPr>
          <w:lang w:val="en-GB"/>
        </w:rPr>
        <w:fldChar w:fldCharType="begin"/>
      </w:r>
      <w:r w:rsidR="00C57097" w:rsidRPr="00535A4C">
        <w:rPr>
          <w:lang w:val="en-GB"/>
        </w:rPr>
        <w:instrText xml:space="preserve"> ADDIN PAPERS2_CITATIONS &lt;citation&gt;&lt;uuid&gt;1676E6ED-214A-4104-BD3A-214CA52B7199&lt;/uuid&gt;&lt;priority&gt;53&lt;/priority&gt;&lt;publications&gt;&lt;publication&gt;&lt;uuid&gt;AB040EB5-9FDB-471A-9C13-290E49D31DA4&lt;/uuid&gt;&lt;publication_date&gt;99199600001200000000200000&lt;/publication_date&gt;&lt;title&gt;Singular spectrum analysis: a new tool in time series analysis&lt;/title&gt;&lt;type&gt;0&lt;/type&gt;&lt;subtype&gt;0&lt;/subtype&gt;&lt;publisher&gt;Springer&lt;/publisher&gt;&lt;authors&gt;&lt;author&gt;&lt;firstName&gt;James&lt;/firstName&gt;&lt;middleNames&gt;B&lt;/middleNames&gt;&lt;lastName&gt;Elsner&lt;/lastName&gt;&lt;/author&gt;&lt;author&gt;&lt;firstName&gt;Anastasios&lt;/firstName&gt;&lt;middleNames&gt;A&lt;/middleNames&gt;&lt;lastName&gt;Tsonis&lt;/lastName&gt;&lt;/author&gt;&lt;/authors&gt;&lt;/publication&gt;&lt;/publications&gt;&lt;cites&gt;&lt;/cites&gt;&lt;/citation&gt;</w:instrText>
      </w:r>
      <w:r w:rsidRPr="00535A4C">
        <w:rPr>
          <w:lang w:val="en-GB"/>
        </w:rPr>
        <w:fldChar w:fldCharType="separate"/>
      </w:r>
      <w:r w:rsidR="00A95881" w:rsidRPr="00535A4C">
        <w:rPr>
          <w:lang w:val="en-GB"/>
        </w:rPr>
        <w:t>Elsner and</w:t>
      </w:r>
      <w:r w:rsidRPr="00535A4C">
        <w:rPr>
          <w:lang w:val="en-GB"/>
        </w:rPr>
        <w:t xml:space="preserve"> Tsonis</w:t>
      </w:r>
      <w:r w:rsidR="00297C05">
        <w:rPr>
          <w:lang w:val="en-GB"/>
        </w:rPr>
        <w:t xml:space="preserve"> (</w:t>
      </w:r>
      <w:r w:rsidRPr="00535A4C">
        <w:rPr>
          <w:lang w:val="en-GB"/>
        </w:rPr>
        <w:t>1996)</w:t>
      </w:r>
      <w:r w:rsidRPr="00535A4C">
        <w:rPr>
          <w:lang w:val="en-GB"/>
        </w:rPr>
        <w:fldChar w:fldCharType="end"/>
      </w:r>
      <w:r w:rsidRPr="00535A4C">
        <w:rPr>
          <w:lang w:val="en-GB"/>
        </w:rPr>
        <w:t>,</w:t>
      </w:r>
      <w:r w:rsidR="00A95881" w:rsidRPr="00535A4C">
        <w:rPr>
          <w:lang w:val="en-GB"/>
        </w:rPr>
        <w:t xml:space="preserve"> </w:t>
      </w:r>
      <w:r w:rsidRPr="00535A4C">
        <w:rPr>
          <w:lang w:val="en-GB"/>
        </w:rPr>
        <w:fldChar w:fldCharType="begin"/>
      </w:r>
      <w:r w:rsidR="00C57097" w:rsidRPr="00535A4C">
        <w:rPr>
          <w:lang w:val="en-GB"/>
        </w:rPr>
        <w:instrText xml:space="preserve"> ADDIN PAPERS2_CITATIONS &lt;citation&gt;&lt;uuid&gt;161B552C-2C8E-427C-BCE6-B4C9AECA6A40&lt;/uuid&gt;&lt;priority&gt;54&lt;/priority&gt;&lt;publications&gt;&lt;publication&gt;&lt;uuid&gt;C06EFC7D-9A0D-48C5-A536-5287F74771AE&lt;/uuid&gt;&lt;publication_date&gt;99201000001200000000200000&lt;/publication_date&gt;&lt;title&gt;Analysis of time series structure: SSA and related techniques&lt;/title&gt;&lt;type&gt;0&lt;/type&gt;&lt;subtype&gt;0&lt;/subtype&gt;&lt;publisher&gt;CRC Press&lt;/publisher&gt;&lt;authors&gt;&lt;author&gt;&lt;firstName&gt;Nina&lt;/firstName&gt;&lt;lastName&gt;Golyandina&lt;/lastName&gt;&lt;/author&gt;&lt;author&gt;&lt;firstName&gt;Vladimir&lt;/firstName&gt;&lt;lastName&gt;Nekrutkin&lt;/lastName&gt;&lt;/author&gt;&lt;author&gt;&lt;firstName&gt;Anatoly&lt;/firstName&gt;&lt;middleNames&gt;A&lt;/middleNames&gt;&lt;lastName&gt;Zhigljavsky&lt;/lastName&gt;&lt;/author&gt;&lt;/authors&gt;&lt;/publication&gt;&lt;/publications&gt;&lt;cites&gt;&lt;/cites&gt;&lt;/citation&gt;</w:instrText>
      </w:r>
      <w:r w:rsidRPr="00535A4C">
        <w:rPr>
          <w:lang w:val="en-GB"/>
        </w:rPr>
        <w:fldChar w:fldCharType="separate"/>
      </w:r>
      <w:r w:rsidR="00A95881" w:rsidRPr="00535A4C">
        <w:rPr>
          <w:lang w:val="en-GB"/>
        </w:rPr>
        <w:t>Golyandina et</w:t>
      </w:r>
      <w:r w:rsidR="00297C05">
        <w:rPr>
          <w:lang w:val="en-GB"/>
        </w:rPr>
        <w:t xml:space="preserve"> </w:t>
      </w:r>
      <w:r w:rsidR="00A95881" w:rsidRPr="00535A4C">
        <w:rPr>
          <w:lang w:val="en-GB"/>
        </w:rPr>
        <w:t>al.</w:t>
      </w:r>
      <w:r w:rsidRPr="00535A4C">
        <w:rPr>
          <w:lang w:val="en-GB"/>
        </w:rPr>
        <w:t xml:space="preserve"> </w:t>
      </w:r>
      <w:r w:rsidR="00297C05">
        <w:rPr>
          <w:lang w:val="en-GB"/>
        </w:rPr>
        <w:t>(</w:t>
      </w:r>
      <w:r w:rsidRPr="00535A4C">
        <w:rPr>
          <w:lang w:val="en-GB"/>
        </w:rPr>
        <w:t>2010)</w:t>
      </w:r>
      <w:r w:rsidRPr="00535A4C">
        <w:rPr>
          <w:lang w:val="en-GB"/>
        </w:rPr>
        <w:fldChar w:fldCharType="end"/>
      </w:r>
      <w:r w:rsidRPr="00535A4C">
        <w:rPr>
          <w:lang w:val="en-GB"/>
        </w:rPr>
        <w:t xml:space="preserve">, an optimal window </w:t>
      </w:r>
      <w:r w:rsidR="00E63073">
        <w:rPr>
          <w:lang w:val="en-GB"/>
        </w:rPr>
        <w:t xml:space="preserve">size should be chosen applying </w:t>
      </w:r>
      <w:r w:rsidR="00E63073" w:rsidRPr="00C84D63">
        <w:rPr>
          <w:lang w:val="en-GB"/>
        </w:rPr>
        <w:t xml:space="preserve">the </w:t>
      </w:r>
      <w:r w:rsidRPr="00C84D63">
        <w:rPr>
          <w:lang w:val="en-GB"/>
        </w:rPr>
        <w:t xml:space="preserve">general rule m = </w:t>
      </w:r>
      <w:proofErr w:type="spellStart"/>
      <w:r w:rsidRPr="00C84D63">
        <w:rPr>
          <w:lang w:val="en-GB"/>
        </w:rPr>
        <w:t>N</w:t>
      </w:r>
      <w:r w:rsidRPr="00C84D63">
        <w:rPr>
          <w:vertAlign w:val="subscript"/>
          <w:lang w:val="en-GB"/>
        </w:rPr>
        <w:t>t</w:t>
      </w:r>
      <w:proofErr w:type="spellEnd"/>
      <w:r w:rsidRPr="00C84D63">
        <w:rPr>
          <w:lang w:val="en-GB"/>
        </w:rPr>
        <w:t xml:space="preserve">/2, </w:t>
      </w:r>
      <w:proofErr w:type="spellStart"/>
      <w:r w:rsidRPr="00C84D63">
        <w:rPr>
          <w:lang w:val="en-GB"/>
        </w:rPr>
        <w:t>N</w:t>
      </w:r>
      <w:r w:rsidRPr="00C84D63">
        <w:rPr>
          <w:vertAlign w:val="subscript"/>
          <w:lang w:val="en-GB"/>
        </w:rPr>
        <w:t>t</w:t>
      </w:r>
      <w:proofErr w:type="spellEnd"/>
      <w:r w:rsidRPr="00C84D63">
        <w:rPr>
          <w:lang w:val="en-GB"/>
        </w:rPr>
        <w:t xml:space="preserve">/3, </w:t>
      </w:r>
      <w:proofErr w:type="spellStart"/>
      <w:r w:rsidRPr="00C84D63">
        <w:rPr>
          <w:lang w:val="en-GB"/>
        </w:rPr>
        <w:t>N</w:t>
      </w:r>
      <w:r w:rsidRPr="00C84D63">
        <w:rPr>
          <w:vertAlign w:val="subscript"/>
          <w:lang w:val="en-GB"/>
        </w:rPr>
        <w:t>t</w:t>
      </w:r>
      <w:proofErr w:type="spellEnd"/>
      <w:r w:rsidR="00E63073" w:rsidRPr="00C84D63">
        <w:rPr>
          <w:lang w:val="en-GB"/>
        </w:rPr>
        <w:t xml:space="preserve">/4. </w:t>
      </w:r>
      <w:r w:rsidR="00C84D63" w:rsidRPr="00C84D63">
        <w:rPr>
          <w:lang w:val="en-GB"/>
        </w:rPr>
        <w:t xml:space="preserve">The </w:t>
      </w:r>
      <w:r w:rsidR="00F236F4" w:rsidRPr="00C84D63">
        <w:rPr>
          <w:lang w:val="en-GB"/>
        </w:rPr>
        <w:t xml:space="preserve">MSSA </w:t>
      </w:r>
      <w:r w:rsidR="00C84D63" w:rsidRPr="00C84D63">
        <w:rPr>
          <w:lang w:val="en-GB"/>
        </w:rPr>
        <w:t xml:space="preserve">specification was </w:t>
      </w:r>
      <w:r w:rsidR="00F236F4" w:rsidRPr="00C84D63">
        <w:rPr>
          <w:lang w:val="en-GB"/>
        </w:rPr>
        <w:t xml:space="preserve">introduced </w:t>
      </w:r>
      <w:r w:rsidR="00C84D63" w:rsidRPr="00C84D63">
        <w:rPr>
          <w:lang w:val="en-GB"/>
        </w:rPr>
        <w:t xml:space="preserve">by </w:t>
      </w:r>
      <w:proofErr w:type="spellStart"/>
      <w:r w:rsidR="00F236F4" w:rsidRPr="00C84D63">
        <w:rPr>
          <w:lang w:val="en-GB"/>
        </w:rPr>
        <w:t>Hassani</w:t>
      </w:r>
      <w:proofErr w:type="spellEnd"/>
      <w:r w:rsidR="00F236F4" w:rsidRPr="00C84D63">
        <w:rPr>
          <w:lang w:val="en-GB"/>
        </w:rPr>
        <w:t xml:space="preserve"> and </w:t>
      </w:r>
      <w:proofErr w:type="spellStart"/>
      <w:r w:rsidR="00F236F4" w:rsidRPr="00C84D63">
        <w:rPr>
          <w:lang w:val="en-GB"/>
        </w:rPr>
        <w:t>Mahmoudvand</w:t>
      </w:r>
      <w:proofErr w:type="spellEnd"/>
      <w:r w:rsidR="00F236F4" w:rsidRPr="00C84D63">
        <w:rPr>
          <w:lang w:val="en-GB"/>
        </w:rPr>
        <w:t xml:space="preserve"> (2013) and </w:t>
      </w:r>
      <w:r w:rsidR="00C84D63" w:rsidRPr="00C84D63">
        <w:rPr>
          <w:lang w:val="en-GB"/>
        </w:rPr>
        <w:t>the SSA-</w:t>
      </w:r>
      <w:r w:rsidR="00F236F4" w:rsidRPr="00C84D63">
        <w:rPr>
          <w:lang w:val="en-GB"/>
        </w:rPr>
        <w:t xml:space="preserve">based causality test </w:t>
      </w:r>
      <w:r w:rsidR="00C84D63" w:rsidRPr="00C84D63">
        <w:rPr>
          <w:lang w:val="en-GB"/>
        </w:rPr>
        <w:t xml:space="preserve">by </w:t>
      </w:r>
      <w:proofErr w:type="spellStart"/>
      <w:r w:rsidR="00F236F4" w:rsidRPr="00C84D63">
        <w:rPr>
          <w:lang w:val="en-GB"/>
        </w:rPr>
        <w:t>Hassani</w:t>
      </w:r>
      <w:proofErr w:type="spellEnd"/>
      <w:r w:rsidR="00F236F4" w:rsidRPr="00C84D63">
        <w:rPr>
          <w:lang w:val="en-GB"/>
        </w:rPr>
        <w:t xml:space="preserve"> et al. (2012). The optimal window size has been chosen applying the rule of thumb </w:t>
      </w:r>
      <w:r w:rsidR="008A730C" w:rsidRPr="00C84D63">
        <w:rPr>
          <w:lang w:val="en-GB"/>
        </w:rPr>
        <w:t xml:space="preserve">for SSA </w:t>
      </w:r>
      <w:r w:rsidR="00F236F4" w:rsidRPr="00C84D63">
        <w:rPr>
          <w:lang w:val="en-GB"/>
        </w:rPr>
        <w:t xml:space="preserve">as in </w:t>
      </w:r>
      <w:proofErr w:type="spellStart"/>
      <w:r w:rsidR="008A730C" w:rsidRPr="00C84D63">
        <w:rPr>
          <w:lang w:val="en-GB"/>
        </w:rPr>
        <w:t>Hassani</w:t>
      </w:r>
      <w:proofErr w:type="spellEnd"/>
      <w:r w:rsidR="008A730C" w:rsidRPr="00C84D63">
        <w:rPr>
          <w:lang w:val="en-GB"/>
        </w:rPr>
        <w:t xml:space="preserve"> et al. (2011) and </w:t>
      </w:r>
      <w:proofErr w:type="spellStart"/>
      <w:r w:rsidR="008A730C" w:rsidRPr="00C84D63">
        <w:rPr>
          <w:lang w:val="en-GB"/>
        </w:rPr>
        <w:t>Hassani</w:t>
      </w:r>
      <w:proofErr w:type="spellEnd"/>
      <w:r w:rsidR="008A730C" w:rsidRPr="00C84D63">
        <w:rPr>
          <w:lang w:val="en-GB"/>
        </w:rPr>
        <w:t xml:space="preserve"> et al. (2012). For the Multivariate Singular Spectrum Analysis </w:t>
      </w:r>
      <w:r w:rsidR="00C84D63" w:rsidRPr="00C84D63">
        <w:rPr>
          <w:lang w:val="en-GB"/>
        </w:rPr>
        <w:t xml:space="preserve">the </w:t>
      </w:r>
      <w:r w:rsidR="008A730C" w:rsidRPr="00C84D63">
        <w:rPr>
          <w:lang w:val="en-GB"/>
        </w:rPr>
        <w:t xml:space="preserve">window size has been selected following </w:t>
      </w:r>
      <w:proofErr w:type="spellStart"/>
      <w:r w:rsidR="008A730C" w:rsidRPr="00C84D63">
        <w:rPr>
          <w:lang w:val="en-GB"/>
        </w:rPr>
        <w:t>Hassani</w:t>
      </w:r>
      <w:proofErr w:type="spellEnd"/>
      <w:r w:rsidR="008A730C" w:rsidRPr="00C84D63">
        <w:rPr>
          <w:lang w:val="en-GB"/>
        </w:rPr>
        <w:t xml:space="preserve"> and </w:t>
      </w:r>
      <w:proofErr w:type="spellStart"/>
      <w:r w:rsidR="008A730C" w:rsidRPr="00C84D63">
        <w:rPr>
          <w:lang w:val="en-GB"/>
        </w:rPr>
        <w:t>Mahmoudvand</w:t>
      </w:r>
      <w:proofErr w:type="spellEnd"/>
      <w:r w:rsidR="008A730C" w:rsidRPr="00C84D63">
        <w:rPr>
          <w:lang w:val="en-GB"/>
        </w:rPr>
        <w:t xml:space="preserve"> (2013). </w:t>
      </w:r>
    </w:p>
    <w:p w14:paraId="2849C369" w14:textId="77777777" w:rsidR="00E63073" w:rsidRPr="00E63073" w:rsidRDefault="00E63073" w:rsidP="00E63073">
      <w:pPr>
        <w:pStyle w:val="BodyText"/>
        <w:jc w:val="both"/>
        <w:rPr>
          <w:b/>
          <w:color w:val="FF0000"/>
          <w:lang w:val="en-GB"/>
        </w:rPr>
      </w:pPr>
    </w:p>
    <w:p w14:paraId="30DA572E" w14:textId="77777777" w:rsidR="00AB6A88" w:rsidRPr="00535A4C" w:rsidRDefault="00E63073" w:rsidP="00E8204B">
      <w:pPr>
        <w:pStyle w:val="Heading1"/>
        <w:jc w:val="both"/>
      </w:pPr>
      <w:r>
        <w:t>3</w:t>
      </w:r>
      <w:r w:rsidR="00A95881" w:rsidRPr="00535A4C">
        <w:t xml:space="preserve">. </w:t>
      </w:r>
      <w:r>
        <w:t xml:space="preserve">EMPIRICAL </w:t>
      </w:r>
      <w:r w:rsidR="00A95881" w:rsidRPr="00535A4C">
        <w:t>RESULTS</w:t>
      </w:r>
    </w:p>
    <w:p w14:paraId="434F56DA" w14:textId="77777777" w:rsidR="00016C23" w:rsidRPr="00016C23" w:rsidRDefault="00016C23" w:rsidP="001038AB">
      <w:pPr>
        <w:pStyle w:val="BodyText"/>
        <w:ind w:firstLine="0"/>
        <w:jc w:val="both"/>
        <w:rPr>
          <w:b/>
          <w:lang w:val="en-GB"/>
        </w:rPr>
      </w:pPr>
      <w:r w:rsidRPr="00016C23">
        <w:rPr>
          <w:b/>
          <w:lang w:val="en-GB"/>
        </w:rPr>
        <w:t>3.1 Spectral analysis</w:t>
      </w:r>
    </w:p>
    <w:p w14:paraId="55C3CC8D" w14:textId="77777777" w:rsidR="00AB6A88" w:rsidRPr="00535A4C" w:rsidRDefault="00E63073" w:rsidP="001038AB">
      <w:pPr>
        <w:pStyle w:val="BodyText"/>
        <w:ind w:firstLine="0"/>
        <w:jc w:val="both"/>
        <w:rPr>
          <w:lang w:val="en-GB"/>
        </w:rPr>
      </w:pPr>
      <w:r>
        <w:rPr>
          <w:lang w:val="en-GB"/>
        </w:rPr>
        <w:t xml:space="preserve">The </w:t>
      </w:r>
      <w:r w:rsidR="00AB6A88" w:rsidRPr="00535A4C">
        <w:rPr>
          <w:lang w:val="en-GB"/>
        </w:rPr>
        <w:t>Phase spectrum between L</w:t>
      </w:r>
      <w:r>
        <w:rPr>
          <w:lang w:val="en-GB"/>
        </w:rPr>
        <w:t>R and LCPI is displayed in F</w:t>
      </w:r>
      <w:r w:rsidR="00C23A75">
        <w:rPr>
          <w:lang w:val="en-GB"/>
        </w:rPr>
        <w:t xml:space="preserve">igure 4, which </w:t>
      </w:r>
      <w:r w:rsidR="00C23A75" w:rsidRPr="00C23A75">
        <w:rPr>
          <w:lang w:val="en-GB"/>
        </w:rPr>
        <w:t>suggests that prices lead long-term inte</w:t>
      </w:r>
      <w:r w:rsidR="00C23A75">
        <w:rPr>
          <w:lang w:val="en-GB"/>
        </w:rPr>
        <w:t>rest rates</w:t>
      </w:r>
      <w:r w:rsidR="00C23A75" w:rsidRPr="00C23A75">
        <w:rPr>
          <w:lang w:val="en-GB"/>
        </w:rPr>
        <w:t xml:space="preserve">. However, the negative co-spectrum values point to LR leading LCPI.   </w:t>
      </w:r>
    </w:p>
    <w:p w14:paraId="538B1184" w14:textId="77777777" w:rsidR="00A95881" w:rsidRPr="00535A4C" w:rsidRDefault="00A95881" w:rsidP="001038AB">
      <w:pPr>
        <w:pStyle w:val="BodyText"/>
        <w:ind w:firstLine="0"/>
        <w:jc w:val="both"/>
        <w:rPr>
          <w:lang w:val="en-GB"/>
        </w:rPr>
      </w:pPr>
    </w:p>
    <w:p w14:paraId="192BDC0F" w14:textId="77777777" w:rsidR="00AB6A88" w:rsidRPr="00E63073" w:rsidRDefault="00A95881" w:rsidP="00A95881">
      <w:pPr>
        <w:pStyle w:val="FigureCaptionLabel"/>
        <w:rPr>
          <w:b/>
          <w:i w:val="0"/>
        </w:rPr>
      </w:pPr>
      <w:r w:rsidRPr="00E63073">
        <w:rPr>
          <w:b/>
          <w:i w:val="0"/>
        </w:rPr>
        <w:t>Insert Figure 4 around here</w:t>
      </w:r>
    </w:p>
    <w:p w14:paraId="42A5DC87" w14:textId="77777777" w:rsidR="00A95881" w:rsidRPr="00535A4C" w:rsidRDefault="00A95881" w:rsidP="00A95881">
      <w:pPr>
        <w:pStyle w:val="FigureCaptionLabel"/>
      </w:pPr>
    </w:p>
    <w:p w14:paraId="7009FFE8" w14:textId="77777777" w:rsidR="00A95881" w:rsidRPr="00535A4C" w:rsidRDefault="00E63073" w:rsidP="00E8204B">
      <w:pPr>
        <w:pStyle w:val="BodyText"/>
        <w:jc w:val="both"/>
        <w:rPr>
          <w:lang w:val="en-GB"/>
        </w:rPr>
      </w:pPr>
      <w:r>
        <w:rPr>
          <w:lang w:val="en-GB"/>
        </w:rPr>
        <w:t>The Coherency function (see F</w:t>
      </w:r>
      <w:r w:rsidR="00AB6A88" w:rsidRPr="00535A4C">
        <w:rPr>
          <w:lang w:val="en-GB"/>
        </w:rPr>
        <w:t>igure 5) shows the degree to which LR can be represented as a</w:t>
      </w:r>
      <w:r>
        <w:rPr>
          <w:lang w:val="en-GB"/>
        </w:rPr>
        <w:t xml:space="preserve"> linear function of CPI. It displays the s</w:t>
      </w:r>
      <w:r w:rsidR="00AB6A88" w:rsidRPr="00535A4C">
        <w:rPr>
          <w:lang w:val="en-GB"/>
        </w:rPr>
        <w:t xml:space="preserve">quared conference function, </w:t>
      </w:r>
      <w:r>
        <w:rPr>
          <w:lang w:val="en-GB"/>
        </w:rPr>
        <w:t xml:space="preserve">which is equivalent to </w:t>
      </w:r>
      <w:r w:rsidR="00AB6A88" w:rsidRPr="00535A4C">
        <w:rPr>
          <w:lang w:val="en-GB"/>
        </w:rPr>
        <w:t>the Adjusted R</w:t>
      </w:r>
      <w:r>
        <w:rPr>
          <w:vertAlign w:val="superscript"/>
          <w:lang w:val="en-GB"/>
        </w:rPr>
        <w:t>2</w:t>
      </w:r>
      <w:r w:rsidR="00AB6A88" w:rsidRPr="00535A4C">
        <w:rPr>
          <w:lang w:val="en-GB"/>
        </w:rPr>
        <w:t xml:space="preserve"> in the time domain. </w:t>
      </w:r>
      <w:r>
        <w:rPr>
          <w:lang w:val="en-GB"/>
        </w:rPr>
        <w:t>It implies</w:t>
      </w:r>
      <w:r w:rsidR="00A854CB">
        <w:rPr>
          <w:lang w:val="en-GB"/>
        </w:rPr>
        <w:t xml:space="preserve"> a</w:t>
      </w:r>
      <w:r>
        <w:rPr>
          <w:lang w:val="en-GB"/>
        </w:rPr>
        <w:t xml:space="preserve"> high </w:t>
      </w:r>
      <w:r w:rsidR="00AB6A88" w:rsidRPr="00535A4C">
        <w:rPr>
          <w:lang w:val="en-GB"/>
        </w:rPr>
        <w:t>correlation bet</w:t>
      </w:r>
      <w:r w:rsidR="007502CD">
        <w:rPr>
          <w:lang w:val="en-GB"/>
        </w:rPr>
        <w:t xml:space="preserve">ween LR and LCPI as expected from </w:t>
      </w:r>
      <w:r w:rsidR="00AB6A88" w:rsidRPr="00535A4C">
        <w:rPr>
          <w:lang w:val="en-GB"/>
        </w:rPr>
        <w:t>theory</w:t>
      </w:r>
      <w:r w:rsidR="007502CD">
        <w:rPr>
          <w:lang w:val="en-GB"/>
        </w:rPr>
        <w:t>,</w:t>
      </w:r>
      <w:r w:rsidR="00AB6A88" w:rsidRPr="00535A4C">
        <w:rPr>
          <w:lang w:val="en-GB"/>
        </w:rPr>
        <w:t xml:space="preserve"> with </w:t>
      </w:r>
      <w:r w:rsidR="007502CD">
        <w:rPr>
          <w:lang w:val="en-GB"/>
        </w:rPr>
        <w:t xml:space="preserve">the </w:t>
      </w:r>
      <w:r w:rsidR="00AB6A88" w:rsidRPr="00535A4C">
        <w:rPr>
          <w:lang w:val="en-GB"/>
        </w:rPr>
        <w:t>maximum frequency domain correlation at 2-3 year</w:t>
      </w:r>
      <w:r w:rsidR="007502CD">
        <w:rPr>
          <w:lang w:val="en-GB"/>
        </w:rPr>
        <w:t>s</w:t>
      </w:r>
      <w:r w:rsidR="00AB6A88" w:rsidRPr="00535A4C">
        <w:rPr>
          <w:lang w:val="en-GB"/>
        </w:rPr>
        <w:t xml:space="preserve"> (</w:t>
      </w:r>
      <w:r w:rsidR="007502CD">
        <w:rPr>
          <w:lang w:val="en-GB"/>
        </w:rPr>
        <w:t xml:space="preserve">the </w:t>
      </w:r>
      <w:r w:rsidR="00AB6A88" w:rsidRPr="00535A4C">
        <w:rPr>
          <w:lang w:val="en-GB"/>
        </w:rPr>
        <w:t>period is calculated as</w:t>
      </w:r>
      <w:r w:rsidR="00966BE7" w:rsidRPr="00535A4C">
        <w:rPr>
          <w:lang w:val="en-GB"/>
        </w:rPr>
        <w:t xml:space="preserve"> </w:t>
      </w:r>
      <w:r w:rsidR="00CE1DDE" w:rsidRPr="00535A4C">
        <w:rPr>
          <w:lang w:val="en-GB"/>
        </w:rPr>
        <w:t>the</w:t>
      </w:r>
      <w:r w:rsidR="007502CD">
        <w:rPr>
          <w:lang w:val="en-GB"/>
        </w:rPr>
        <w:t xml:space="preserve"> inverse of frequency band). The s</w:t>
      </w:r>
      <w:r w:rsidR="00AB6A88" w:rsidRPr="00535A4C">
        <w:rPr>
          <w:lang w:val="en-GB"/>
        </w:rPr>
        <w:t>trongest correlation be</w:t>
      </w:r>
      <w:r w:rsidR="007502CD">
        <w:rPr>
          <w:lang w:val="en-GB"/>
        </w:rPr>
        <w:t xml:space="preserve">tween LR and LCPI is found for </w:t>
      </w:r>
      <w:r w:rsidR="00AB6A88" w:rsidRPr="00535A4C">
        <w:rPr>
          <w:lang w:val="en-GB"/>
        </w:rPr>
        <w:t>1-7 years</w:t>
      </w:r>
      <w:r w:rsidR="00A854CB">
        <w:rPr>
          <w:lang w:val="en-GB"/>
        </w:rPr>
        <w:t>; t</w:t>
      </w:r>
      <w:r w:rsidR="007502CD">
        <w:rPr>
          <w:lang w:val="en-GB"/>
        </w:rPr>
        <w:t>hen</w:t>
      </w:r>
      <w:r w:rsidR="00AB6A88" w:rsidRPr="00535A4C">
        <w:rPr>
          <w:lang w:val="en-GB"/>
        </w:rPr>
        <w:t xml:space="preserve"> </w:t>
      </w:r>
      <w:r w:rsidR="00A854CB">
        <w:rPr>
          <w:lang w:val="en-GB"/>
        </w:rPr>
        <w:t xml:space="preserve">it decays </w:t>
      </w:r>
      <w:r w:rsidR="00AB6A88" w:rsidRPr="00535A4C">
        <w:rPr>
          <w:lang w:val="en-GB"/>
        </w:rPr>
        <w:t>slowly</w:t>
      </w:r>
      <w:r w:rsidR="00A854CB">
        <w:rPr>
          <w:lang w:val="en-GB"/>
        </w:rPr>
        <w:t xml:space="preserve">, </w:t>
      </w:r>
      <w:r w:rsidR="00AB6A88" w:rsidRPr="00535A4C">
        <w:rPr>
          <w:lang w:val="en-GB"/>
        </w:rPr>
        <w:t xml:space="preserve">reaching </w:t>
      </w:r>
      <w:r w:rsidR="00C23A75">
        <w:rPr>
          <w:lang w:val="en-GB"/>
        </w:rPr>
        <w:t xml:space="preserve">a minimum </w:t>
      </w:r>
      <w:r w:rsidR="00A854CB">
        <w:rPr>
          <w:lang w:val="en-GB"/>
        </w:rPr>
        <w:t xml:space="preserve">after </w:t>
      </w:r>
      <w:r w:rsidR="007502CD">
        <w:rPr>
          <w:lang w:val="en-GB"/>
        </w:rPr>
        <w:t xml:space="preserve">10 years. It is </w:t>
      </w:r>
      <w:r w:rsidR="00AB6A88" w:rsidRPr="00535A4C">
        <w:rPr>
          <w:lang w:val="en-GB"/>
        </w:rPr>
        <w:t>note</w:t>
      </w:r>
      <w:r w:rsidR="007502CD">
        <w:rPr>
          <w:lang w:val="en-GB"/>
        </w:rPr>
        <w:t>worthy</w:t>
      </w:r>
      <w:r w:rsidR="00AB6A88" w:rsidRPr="00535A4C">
        <w:rPr>
          <w:lang w:val="en-GB"/>
        </w:rPr>
        <w:t xml:space="preserve"> that</w:t>
      </w:r>
      <w:r w:rsidR="00966BE7" w:rsidRPr="00535A4C">
        <w:rPr>
          <w:lang w:val="en-GB"/>
        </w:rPr>
        <w:t xml:space="preserve"> </w:t>
      </w:r>
      <w:r w:rsidR="00CE1DDE" w:rsidRPr="00535A4C">
        <w:rPr>
          <w:lang w:val="en-GB"/>
        </w:rPr>
        <w:t>the</w:t>
      </w:r>
      <w:r w:rsidR="00AB6A88" w:rsidRPr="00535A4C">
        <w:rPr>
          <w:lang w:val="en-GB"/>
        </w:rPr>
        <w:t xml:space="preserve"> correlation coefficient </w:t>
      </w:r>
      <w:r w:rsidR="007502CD">
        <w:rPr>
          <w:lang w:val="en-GB"/>
        </w:rPr>
        <w:t xml:space="preserve">is bigger </w:t>
      </w:r>
      <w:r w:rsidR="00AB6A88" w:rsidRPr="00535A4C">
        <w:rPr>
          <w:lang w:val="en-GB"/>
        </w:rPr>
        <w:t xml:space="preserve">in the long run </w:t>
      </w:r>
      <w:r w:rsidR="007502CD">
        <w:rPr>
          <w:lang w:val="en-GB"/>
        </w:rPr>
        <w:t>than after two y</w:t>
      </w:r>
      <w:r w:rsidR="00AB6A88" w:rsidRPr="00535A4C">
        <w:rPr>
          <w:lang w:val="en-GB"/>
        </w:rPr>
        <w:t>ear</w:t>
      </w:r>
      <w:r w:rsidR="007502CD">
        <w:rPr>
          <w:lang w:val="en-GB"/>
        </w:rPr>
        <w:t xml:space="preserve">s, suggesting </w:t>
      </w:r>
      <w:r w:rsidR="00AB6A88" w:rsidRPr="00535A4C">
        <w:rPr>
          <w:lang w:val="en-GB"/>
        </w:rPr>
        <w:t>long memory in both series. The cohere</w:t>
      </w:r>
      <w:r w:rsidR="007502CD">
        <w:rPr>
          <w:lang w:val="en-GB"/>
        </w:rPr>
        <w:t xml:space="preserve">nce is above 0.8 for </w:t>
      </w:r>
      <w:r w:rsidR="00AB6A88" w:rsidRPr="00535A4C">
        <w:rPr>
          <w:lang w:val="en-GB"/>
        </w:rPr>
        <w:t>short periods (higher frequencies)</w:t>
      </w:r>
      <w:r w:rsidR="007502CD">
        <w:rPr>
          <w:lang w:val="en-GB"/>
        </w:rPr>
        <w:t xml:space="preserve">, </w:t>
      </w:r>
      <w:proofErr w:type="gramStart"/>
      <w:r w:rsidR="007502CD">
        <w:rPr>
          <w:lang w:val="en-GB"/>
        </w:rPr>
        <w:t>then</w:t>
      </w:r>
      <w:proofErr w:type="gramEnd"/>
      <w:r w:rsidR="007502CD">
        <w:rPr>
          <w:lang w:val="en-GB"/>
        </w:rPr>
        <w:t xml:space="preserve"> drops before </w:t>
      </w:r>
      <w:r w:rsidR="00AB6A88" w:rsidRPr="00535A4C">
        <w:rPr>
          <w:lang w:val="en-GB"/>
        </w:rPr>
        <w:t xml:space="preserve">reverting back to 0.8 in the long run. </w:t>
      </w:r>
      <w:r w:rsidR="007502CD">
        <w:rPr>
          <w:lang w:val="en-GB"/>
        </w:rPr>
        <w:t>The Coherency function indicate</w:t>
      </w:r>
      <w:r w:rsidR="00A854CB">
        <w:rPr>
          <w:lang w:val="en-GB"/>
        </w:rPr>
        <w:t>s</w:t>
      </w:r>
      <w:r w:rsidR="007502CD">
        <w:rPr>
          <w:lang w:val="en-GB"/>
        </w:rPr>
        <w:t xml:space="preserve"> that </w:t>
      </w:r>
      <w:r w:rsidR="00AB6A88" w:rsidRPr="00535A4C">
        <w:rPr>
          <w:lang w:val="en-GB"/>
        </w:rPr>
        <w:t xml:space="preserve">LR and LCPI </w:t>
      </w:r>
      <w:r w:rsidR="007502CD">
        <w:rPr>
          <w:lang w:val="en-GB"/>
        </w:rPr>
        <w:t xml:space="preserve">are </w:t>
      </w:r>
      <w:r w:rsidR="00AB6A88" w:rsidRPr="00535A4C">
        <w:rPr>
          <w:lang w:val="en-GB"/>
        </w:rPr>
        <w:t xml:space="preserve">highly correlated both in the short and long run.  </w:t>
      </w:r>
    </w:p>
    <w:p w14:paraId="4AAB5174" w14:textId="77777777" w:rsidR="00AB6A88" w:rsidRPr="005A5B4E" w:rsidRDefault="00A95881" w:rsidP="00A95881">
      <w:pPr>
        <w:pStyle w:val="FigureCaptionLabel"/>
        <w:rPr>
          <w:b/>
        </w:rPr>
      </w:pPr>
      <w:r w:rsidRPr="005A5B4E">
        <w:rPr>
          <w:b/>
        </w:rPr>
        <w:t>Insert Figure 5 around here</w:t>
      </w:r>
    </w:p>
    <w:p w14:paraId="2960B7D1" w14:textId="77777777" w:rsidR="00AB6A88" w:rsidRPr="00535A4C" w:rsidRDefault="00AB6A88" w:rsidP="00E8204B">
      <w:pPr>
        <w:pStyle w:val="BodyText"/>
        <w:jc w:val="both"/>
        <w:rPr>
          <w:lang w:val="en-GB"/>
        </w:rPr>
      </w:pPr>
    </w:p>
    <w:p w14:paraId="7E789D3F" w14:textId="77777777" w:rsidR="00AB6A88" w:rsidRPr="00535A4C" w:rsidRDefault="00A854CB" w:rsidP="00E8204B">
      <w:pPr>
        <w:pStyle w:val="BodyText"/>
        <w:jc w:val="both"/>
        <w:rPr>
          <w:lang w:val="en-GB"/>
        </w:rPr>
      </w:pPr>
      <w:r>
        <w:rPr>
          <w:lang w:val="en-GB"/>
        </w:rPr>
        <w:t xml:space="preserve">The Gain factor, equivalent to </w:t>
      </w:r>
      <w:r w:rsidR="00966BE7" w:rsidRPr="00535A4C">
        <w:rPr>
          <w:lang w:val="en-GB"/>
        </w:rPr>
        <w:t>the</w:t>
      </w:r>
      <w:r w:rsidR="00AB6A88" w:rsidRPr="00535A4C">
        <w:rPr>
          <w:lang w:val="en-GB"/>
        </w:rPr>
        <w:t xml:space="preserve"> regression coefficient in</w:t>
      </w:r>
      <w:r w:rsidR="00CE1DDE" w:rsidRPr="00535A4C">
        <w:rPr>
          <w:lang w:val="en-GB"/>
        </w:rPr>
        <w:t xml:space="preserve"> the</w:t>
      </w:r>
      <w:r w:rsidR="00AB6A88" w:rsidRPr="00535A4C">
        <w:rPr>
          <w:lang w:val="en-GB"/>
        </w:rPr>
        <w:t xml:space="preserve"> time domain</w:t>
      </w:r>
      <w:r>
        <w:rPr>
          <w:lang w:val="en-GB"/>
        </w:rPr>
        <w:t xml:space="preserve">, </w:t>
      </w:r>
      <w:r w:rsidR="00AB6A88" w:rsidRPr="00535A4C">
        <w:rPr>
          <w:lang w:val="en-GB"/>
        </w:rPr>
        <w:t>is high</w:t>
      </w:r>
      <w:r w:rsidR="00C23A75">
        <w:rPr>
          <w:lang w:val="en-GB"/>
        </w:rPr>
        <w:t>er</w:t>
      </w:r>
      <w:r w:rsidR="00AB6A88" w:rsidRPr="00535A4C">
        <w:rPr>
          <w:lang w:val="en-GB"/>
        </w:rPr>
        <w:t xml:space="preserve"> for </w:t>
      </w:r>
      <w:r>
        <w:rPr>
          <w:lang w:val="en-GB"/>
        </w:rPr>
        <w:t xml:space="preserve">the </w:t>
      </w:r>
      <w:r w:rsidR="00AB6A88" w:rsidRPr="00535A4C">
        <w:rPr>
          <w:lang w:val="en-GB"/>
        </w:rPr>
        <w:t>log of</w:t>
      </w:r>
      <w:r w:rsidR="00CE1DDE" w:rsidRPr="00535A4C">
        <w:rPr>
          <w:lang w:val="en-GB"/>
        </w:rPr>
        <w:t xml:space="preserve"> the</w:t>
      </w:r>
      <w:r w:rsidR="00AB6A88" w:rsidRPr="00535A4C">
        <w:rPr>
          <w:lang w:val="en-GB"/>
        </w:rPr>
        <w:t xml:space="preserve"> price level (LCPI) </w:t>
      </w:r>
      <w:r w:rsidR="00C23A75">
        <w:rPr>
          <w:lang w:val="en-GB"/>
        </w:rPr>
        <w:t xml:space="preserve">than </w:t>
      </w:r>
      <w:r w:rsidR="00AB6A88" w:rsidRPr="00535A4C">
        <w:rPr>
          <w:lang w:val="en-GB"/>
        </w:rPr>
        <w:t>for LR</w:t>
      </w:r>
      <w:r>
        <w:rPr>
          <w:lang w:val="en-GB"/>
        </w:rPr>
        <w:t xml:space="preserve"> (see Figure 6). The high coherence implies that changes in </w:t>
      </w:r>
      <w:r w:rsidR="00FD5DBA">
        <w:rPr>
          <w:lang w:val="en-GB"/>
        </w:rPr>
        <w:t xml:space="preserve">LR transmitted to </w:t>
      </w:r>
      <w:r w:rsidR="00AB6A88" w:rsidRPr="00535A4C">
        <w:rPr>
          <w:lang w:val="en-GB"/>
        </w:rPr>
        <w:t xml:space="preserve">LCPI </w:t>
      </w:r>
      <w:r>
        <w:rPr>
          <w:lang w:val="en-GB"/>
        </w:rPr>
        <w:t xml:space="preserve">are </w:t>
      </w:r>
      <w:r w:rsidR="00FD5DBA">
        <w:rPr>
          <w:lang w:val="en-GB"/>
        </w:rPr>
        <w:t xml:space="preserve">magnified </w:t>
      </w:r>
      <w:r w:rsidR="004358E2" w:rsidRPr="00535A4C">
        <w:rPr>
          <w:lang w:val="en-GB"/>
        </w:rPr>
        <w:t>1-2 times</w:t>
      </w:r>
      <w:r w:rsidR="00FD5DBA">
        <w:rPr>
          <w:lang w:val="en-GB"/>
        </w:rPr>
        <w:t>, whilst in the opposite direction the corresponding percentage is</w:t>
      </w:r>
      <w:r>
        <w:rPr>
          <w:lang w:val="en-GB"/>
        </w:rPr>
        <w:t xml:space="preserve"> </w:t>
      </w:r>
      <w:r w:rsidR="00FD5DBA">
        <w:rPr>
          <w:lang w:val="en-GB"/>
        </w:rPr>
        <w:t xml:space="preserve">only </w:t>
      </w:r>
      <w:r>
        <w:rPr>
          <w:lang w:val="en-GB"/>
        </w:rPr>
        <w:t>20-100%</w:t>
      </w:r>
      <w:r w:rsidR="00AB6A88" w:rsidRPr="00535A4C">
        <w:rPr>
          <w:lang w:val="en-GB"/>
        </w:rPr>
        <w:t xml:space="preserve">.  </w:t>
      </w:r>
    </w:p>
    <w:p w14:paraId="74356F4C" w14:textId="77777777" w:rsidR="00A95881" w:rsidRPr="00535A4C" w:rsidRDefault="00A95881" w:rsidP="00E8204B">
      <w:pPr>
        <w:pStyle w:val="BodyText"/>
        <w:jc w:val="both"/>
        <w:rPr>
          <w:lang w:val="en-GB"/>
        </w:rPr>
      </w:pPr>
    </w:p>
    <w:p w14:paraId="40FBA8BA" w14:textId="77777777" w:rsidR="00AB6A88" w:rsidRPr="00A854CB" w:rsidRDefault="00A95881" w:rsidP="00A95881">
      <w:pPr>
        <w:pStyle w:val="FigureCaptionLabel"/>
        <w:rPr>
          <w:b/>
          <w:i w:val="0"/>
        </w:rPr>
      </w:pPr>
      <w:r w:rsidRPr="00A854CB">
        <w:rPr>
          <w:b/>
          <w:i w:val="0"/>
        </w:rPr>
        <w:t>Insert Figure 6 around here</w:t>
      </w:r>
    </w:p>
    <w:p w14:paraId="1184B3A0" w14:textId="77777777" w:rsidR="00AB6A88" w:rsidRPr="00535A4C" w:rsidRDefault="00AB6A88" w:rsidP="00E8204B">
      <w:pPr>
        <w:jc w:val="both"/>
      </w:pPr>
    </w:p>
    <w:p w14:paraId="2AEBC29D" w14:textId="77777777" w:rsidR="00AB6A88" w:rsidRPr="00535A4C" w:rsidRDefault="00A854CB" w:rsidP="00E8204B">
      <w:pPr>
        <w:pStyle w:val="BodyText"/>
        <w:jc w:val="both"/>
        <w:rPr>
          <w:lang w:val="en-GB"/>
        </w:rPr>
      </w:pPr>
      <w:r>
        <w:rPr>
          <w:lang w:val="en-GB"/>
        </w:rPr>
        <w:t>The r</w:t>
      </w:r>
      <w:r w:rsidR="00AB6A88" w:rsidRPr="00535A4C">
        <w:rPr>
          <w:lang w:val="en-GB"/>
        </w:rPr>
        <w:t xml:space="preserve">esults </w:t>
      </w:r>
      <w:r>
        <w:rPr>
          <w:lang w:val="en-GB"/>
        </w:rPr>
        <w:t xml:space="preserve">from </w:t>
      </w:r>
      <w:r w:rsidR="00AB6A88" w:rsidRPr="00535A4C">
        <w:rPr>
          <w:lang w:val="en-GB"/>
        </w:rPr>
        <w:t>spectral analysis can be su</w:t>
      </w:r>
      <w:r>
        <w:rPr>
          <w:lang w:val="en-GB"/>
        </w:rPr>
        <w:t>mmaris</w:t>
      </w:r>
      <w:r w:rsidR="00AB6A88" w:rsidRPr="00535A4C">
        <w:rPr>
          <w:lang w:val="en-GB"/>
        </w:rPr>
        <w:t>ed as follows:</w:t>
      </w:r>
    </w:p>
    <w:p w14:paraId="3195D16F" w14:textId="77777777" w:rsidR="00AB6A88" w:rsidRPr="00535A4C" w:rsidRDefault="00FD5DBA" w:rsidP="001038AB">
      <w:pPr>
        <w:pStyle w:val="BodyText"/>
        <w:numPr>
          <w:ilvl w:val="0"/>
          <w:numId w:val="14"/>
        </w:numPr>
        <w:tabs>
          <w:tab w:val="clear" w:pos="8640"/>
        </w:tabs>
        <w:jc w:val="both"/>
        <w:rPr>
          <w:lang w:val="en-GB"/>
        </w:rPr>
      </w:pPr>
      <w:r>
        <w:rPr>
          <w:lang w:val="en-GB"/>
        </w:rPr>
        <w:lastRenderedPageBreak/>
        <w:t>The c</w:t>
      </w:r>
      <w:r w:rsidR="00AB6A88" w:rsidRPr="00535A4C">
        <w:rPr>
          <w:lang w:val="en-GB"/>
        </w:rPr>
        <w:t>oherence between LR and LCPI</w:t>
      </w:r>
      <w:r w:rsidR="00C23A75">
        <w:rPr>
          <w:lang w:val="en-GB"/>
        </w:rPr>
        <w:t xml:space="preserve"> </w:t>
      </w:r>
      <w:r w:rsidR="00AB6A88" w:rsidRPr="00535A4C">
        <w:rPr>
          <w:lang w:val="en-GB"/>
        </w:rPr>
        <w:t>is high implyi</w:t>
      </w:r>
      <w:r>
        <w:rPr>
          <w:lang w:val="en-GB"/>
        </w:rPr>
        <w:t xml:space="preserve">ng that movements in one </w:t>
      </w:r>
      <w:r w:rsidR="00AB6A88" w:rsidRPr="00535A4C">
        <w:rPr>
          <w:lang w:val="en-GB"/>
        </w:rPr>
        <w:t xml:space="preserve">series </w:t>
      </w:r>
      <w:r>
        <w:rPr>
          <w:lang w:val="en-GB"/>
        </w:rPr>
        <w:t xml:space="preserve">have a </w:t>
      </w:r>
      <w:r w:rsidR="00AB6A88" w:rsidRPr="00535A4C">
        <w:rPr>
          <w:lang w:val="en-GB"/>
        </w:rPr>
        <w:t>strong and long lasting effect on the o</w:t>
      </w:r>
      <w:r>
        <w:rPr>
          <w:lang w:val="en-GB"/>
        </w:rPr>
        <w:t xml:space="preserve">ther, </w:t>
      </w:r>
      <w:r w:rsidR="00F30FA0">
        <w:rPr>
          <w:lang w:val="en-GB"/>
        </w:rPr>
        <w:t xml:space="preserve">with </w:t>
      </w:r>
      <w:r>
        <w:rPr>
          <w:lang w:val="en-GB"/>
        </w:rPr>
        <w:t>LCPI affecting</w:t>
      </w:r>
      <w:r w:rsidR="00AB6A88" w:rsidRPr="00535A4C">
        <w:rPr>
          <w:lang w:val="en-GB"/>
        </w:rPr>
        <w:t xml:space="preserve"> LR</w:t>
      </w:r>
      <w:r w:rsidR="00F30FA0">
        <w:rPr>
          <w:lang w:val="en-GB"/>
        </w:rPr>
        <w:t xml:space="preserve"> in particular</w:t>
      </w:r>
      <w:r w:rsidR="00AB6A88" w:rsidRPr="00535A4C">
        <w:rPr>
          <w:lang w:val="en-GB"/>
        </w:rPr>
        <w:t>.</w:t>
      </w:r>
    </w:p>
    <w:p w14:paraId="5B906557" w14:textId="77777777" w:rsidR="00AB6A88" w:rsidRPr="00535A4C" w:rsidRDefault="00FD5DBA" w:rsidP="001038AB">
      <w:pPr>
        <w:pStyle w:val="BodyText"/>
        <w:numPr>
          <w:ilvl w:val="0"/>
          <w:numId w:val="14"/>
        </w:numPr>
        <w:tabs>
          <w:tab w:val="clear" w:pos="8640"/>
        </w:tabs>
        <w:jc w:val="both"/>
        <w:rPr>
          <w:lang w:val="en-GB"/>
        </w:rPr>
      </w:pPr>
      <w:r>
        <w:rPr>
          <w:lang w:val="en-GB"/>
        </w:rPr>
        <w:t>The g</w:t>
      </w:r>
      <w:r w:rsidR="00AB6A88" w:rsidRPr="00535A4C">
        <w:rPr>
          <w:lang w:val="en-GB"/>
        </w:rPr>
        <w:t>ain coefficient is high</w:t>
      </w:r>
      <w:r>
        <w:rPr>
          <w:lang w:val="en-GB"/>
        </w:rPr>
        <w:t>er</w:t>
      </w:r>
      <w:r w:rsidR="00AB6A88" w:rsidRPr="00535A4C">
        <w:rPr>
          <w:lang w:val="en-GB"/>
        </w:rPr>
        <w:t xml:space="preserve"> for LCPI </w:t>
      </w:r>
      <w:r>
        <w:rPr>
          <w:lang w:val="en-GB"/>
        </w:rPr>
        <w:t>than f</w:t>
      </w:r>
      <w:r w:rsidR="00AB6A88" w:rsidRPr="00535A4C">
        <w:rPr>
          <w:lang w:val="en-GB"/>
        </w:rPr>
        <w:t>or LR</w:t>
      </w:r>
      <w:r>
        <w:rPr>
          <w:lang w:val="en-GB"/>
        </w:rPr>
        <w:t>,</w:t>
      </w:r>
      <w:r w:rsidR="00AB6A88" w:rsidRPr="00535A4C">
        <w:rPr>
          <w:lang w:val="en-GB"/>
        </w:rPr>
        <w:t xml:space="preserve"> indicating that movements in </w:t>
      </w:r>
      <w:r w:rsidR="00F30FA0">
        <w:rPr>
          <w:lang w:val="en-GB"/>
        </w:rPr>
        <w:t xml:space="preserve">the former </w:t>
      </w:r>
      <w:r w:rsidR="00016C23">
        <w:rPr>
          <w:lang w:val="en-GB"/>
        </w:rPr>
        <w:t xml:space="preserve">have a larger impact on </w:t>
      </w:r>
      <w:r w:rsidR="00F30FA0">
        <w:rPr>
          <w:lang w:val="en-GB"/>
        </w:rPr>
        <w:t>the latter than vice versa</w:t>
      </w:r>
      <w:r w:rsidR="00016C23">
        <w:rPr>
          <w:lang w:val="en-GB"/>
        </w:rPr>
        <w:t xml:space="preserve">. </w:t>
      </w:r>
      <w:r w:rsidR="00AB6A88" w:rsidRPr="00535A4C">
        <w:rPr>
          <w:lang w:val="en-GB"/>
        </w:rPr>
        <w:t xml:space="preserve"> </w:t>
      </w:r>
    </w:p>
    <w:p w14:paraId="4D8CA886" w14:textId="77777777" w:rsidR="00AB6A88" w:rsidRPr="00535A4C" w:rsidRDefault="00016C23" w:rsidP="001038AB">
      <w:pPr>
        <w:pStyle w:val="BodyText"/>
        <w:numPr>
          <w:ilvl w:val="0"/>
          <w:numId w:val="14"/>
        </w:numPr>
        <w:tabs>
          <w:tab w:val="clear" w:pos="8640"/>
        </w:tabs>
        <w:jc w:val="both"/>
        <w:rPr>
          <w:lang w:val="en-GB"/>
        </w:rPr>
      </w:pPr>
      <w:r>
        <w:rPr>
          <w:lang w:val="en-GB"/>
        </w:rPr>
        <w:t>The p</w:t>
      </w:r>
      <w:r w:rsidR="00AB6A88" w:rsidRPr="00535A4C">
        <w:rPr>
          <w:lang w:val="en-GB"/>
        </w:rPr>
        <w:t xml:space="preserve">hase </w:t>
      </w:r>
      <w:r w:rsidR="00AB6A88" w:rsidRPr="007B26A3">
        <w:rPr>
          <w:lang w:val="en-GB"/>
        </w:rPr>
        <w:t>angle</w:t>
      </w:r>
      <w:r w:rsidRPr="00016C23">
        <w:rPr>
          <w:color w:val="FF0000"/>
          <w:lang w:val="en-GB"/>
        </w:rPr>
        <w:t xml:space="preserve"> </w:t>
      </w:r>
      <w:r w:rsidR="00AB6A88" w:rsidRPr="00535A4C">
        <w:rPr>
          <w:lang w:val="en-GB"/>
        </w:rPr>
        <w:t>is close to zero and 2</w:t>
      </w:r>
      <w:r w:rsidR="00AB6A88" w:rsidRPr="00535A4C">
        <w:rPr>
          <w:lang w:val="en-GB"/>
        </w:rPr>
        <w:sym w:font="Symbol" w:char="F070"/>
      </w:r>
      <w:r w:rsidR="00F30FA0">
        <w:rPr>
          <w:lang w:val="en-GB"/>
        </w:rPr>
        <w:t xml:space="preserve">, therefore </w:t>
      </w:r>
      <w:r w:rsidR="00AB6A88" w:rsidRPr="00535A4C">
        <w:rPr>
          <w:lang w:val="en-GB"/>
        </w:rPr>
        <w:t xml:space="preserve">LR and LCPI </w:t>
      </w:r>
      <w:r>
        <w:rPr>
          <w:lang w:val="en-GB"/>
        </w:rPr>
        <w:t xml:space="preserve">are simultaneously affecting each other </w:t>
      </w:r>
      <w:r w:rsidR="00AB6A88" w:rsidRPr="00535A4C">
        <w:rPr>
          <w:lang w:val="en-GB"/>
        </w:rPr>
        <w:t xml:space="preserve">both in the short and long run. </w:t>
      </w:r>
    </w:p>
    <w:p w14:paraId="282A086E" w14:textId="77777777" w:rsidR="00AB6A88" w:rsidRPr="00535A4C" w:rsidRDefault="00AB6A88" w:rsidP="00E8204B">
      <w:pPr>
        <w:pStyle w:val="BodyText"/>
        <w:jc w:val="both"/>
        <w:rPr>
          <w:lang w:val="en-GB"/>
        </w:rPr>
      </w:pPr>
    </w:p>
    <w:p w14:paraId="6F921F14" w14:textId="77777777" w:rsidR="00AB6A88" w:rsidRPr="00535A4C" w:rsidRDefault="00016C23" w:rsidP="00A50860">
      <w:pPr>
        <w:pStyle w:val="BodyText"/>
        <w:jc w:val="both"/>
        <w:rPr>
          <w:lang w:val="en-GB"/>
        </w:rPr>
      </w:pPr>
      <w:r>
        <w:rPr>
          <w:lang w:val="en-GB"/>
        </w:rPr>
        <w:t>Overall, the s</w:t>
      </w:r>
      <w:r w:rsidR="00AB6A88" w:rsidRPr="00535A4C">
        <w:rPr>
          <w:lang w:val="en-GB"/>
        </w:rPr>
        <w:t>pectral analysis provides evidence of</w:t>
      </w:r>
      <w:r w:rsidR="00F30FA0">
        <w:rPr>
          <w:lang w:val="en-GB"/>
        </w:rPr>
        <w:t xml:space="preserve"> </w:t>
      </w:r>
      <w:r w:rsidR="00AB6A88" w:rsidRPr="00535A4C">
        <w:rPr>
          <w:lang w:val="en-GB"/>
        </w:rPr>
        <w:t xml:space="preserve">strong correlation between LR and LCPI </w:t>
      </w:r>
      <w:r>
        <w:rPr>
          <w:lang w:val="en-GB"/>
        </w:rPr>
        <w:t>(</w:t>
      </w:r>
      <w:r w:rsidR="00A50860">
        <w:rPr>
          <w:lang w:val="en-GB"/>
        </w:rPr>
        <w:t xml:space="preserve">i.e., </w:t>
      </w:r>
      <w:r>
        <w:rPr>
          <w:lang w:val="en-GB"/>
        </w:rPr>
        <w:t xml:space="preserve">of a </w:t>
      </w:r>
      <w:r w:rsidR="00AB6A88" w:rsidRPr="00535A4C">
        <w:rPr>
          <w:lang w:val="en-GB"/>
        </w:rPr>
        <w:t>Gibson</w:t>
      </w:r>
      <w:r>
        <w:rPr>
          <w:lang w:val="en-GB"/>
        </w:rPr>
        <w:t>’s</w:t>
      </w:r>
      <w:r w:rsidR="00AB6A88" w:rsidRPr="00535A4C">
        <w:rPr>
          <w:lang w:val="en-GB"/>
        </w:rPr>
        <w:t xml:space="preserve"> paradox </w:t>
      </w:r>
      <w:r>
        <w:rPr>
          <w:lang w:val="en-GB"/>
        </w:rPr>
        <w:t>in the Netherlands</w:t>
      </w:r>
      <w:r w:rsidR="00AB6A88" w:rsidRPr="00535A4C">
        <w:rPr>
          <w:lang w:val="en-GB"/>
        </w:rPr>
        <w:t>)</w:t>
      </w:r>
      <w:r>
        <w:rPr>
          <w:lang w:val="en-GB"/>
        </w:rPr>
        <w:t xml:space="preserve">, but </w:t>
      </w:r>
      <w:r w:rsidR="00AB6A88" w:rsidRPr="00535A4C">
        <w:rPr>
          <w:lang w:val="en-GB"/>
        </w:rPr>
        <w:t>giv</w:t>
      </w:r>
      <w:r>
        <w:rPr>
          <w:lang w:val="en-GB"/>
        </w:rPr>
        <w:t xml:space="preserve">es no </w:t>
      </w:r>
      <w:r w:rsidR="00AB6A88" w:rsidRPr="00535A4C">
        <w:rPr>
          <w:lang w:val="en-GB"/>
        </w:rPr>
        <w:t>information on causa</w:t>
      </w:r>
      <w:r>
        <w:rPr>
          <w:lang w:val="en-GB"/>
        </w:rPr>
        <w:t>lity linkages</w:t>
      </w:r>
      <w:r w:rsidR="00AB6A88" w:rsidRPr="00535A4C">
        <w:rPr>
          <w:lang w:val="en-GB"/>
        </w:rPr>
        <w:t xml:space="preserve">. </w:t>
      </w:r>
      <w:r>
        <w:rPr>
          <w:lang w:val="en-GB"/>
        </w:rPr>
        <w:t xml:space="preserve"> A </w:t>
      </w:r>
      <w:r w:rsidR="00321109" w:rsidRPr="00535A4C">
        <w:rPr>
          <w:lang w:val="en-GB"/>
        </w:rPr>
        <w:t xml:space="preserve">Multichannel </w:t>
      </w:r>
      <w:r w:rsidR="00AB6A88" w:rsidRPr="00535A4C">
        <w:rPr>
          <w:lang w:val="en-GB"/>
        </w:rPr>
        <w:t>Singular Spectrum Causality</w:t>
      </w:r>
      <w:r w:rsidR="003667A0" w:rsidRPr="00535A4C">
        <w:rPr>
          <w:lang w:val="en-GB"/>
        </w:rPr>
        <w:t xml:space="preserve"> (</w:t>
      </w:r>
      <w:r w:rsidR="00321109" w:rsidRPr="00535A4C">
        <w:rPr>
          <w:lang w:val="en-GB"/>
        </w:rPr>
        <w:t>M</w:t>
      </w:r>
      <w:r w:rsidR="003667A0" w:rsidRPr="00535A4C">
        <w:rPr>
          <w:lang w:val="en-GB"/>
        </w:rPr>
        <w:t>SSA)</w:t>
      </w:r>
      <w:r>
        <w:rPr>
          <w:lang w:val="en-GB"/>
        </w:rPr>
        <w:t xml:space="preserve"> test, outlined </w:t>
      </w:r>
      <w:r w:rsidR="00AB6A88" w:rsidRPr="00535A4C">
        <w:rPr>
          <w:lang w:val="en-GB"/>
        </w:rPr>
        <w:t xml:space="preserve">in the </w:t>
      </w:r>
      <w:r w:rsidR="000224E0" w:rsidRPr="00535A4C">
        <w:rPr>
          <w:lang w:val="en-GB"/>
        </w:rPr>
        <w:t>next</w:t>
      </w:r>
      <w:r w:rsidR="00AB6A88" w:rsidRPr="00535A4C">
        <w:rPr>
          <w:lang w:val="en-GB"/>
        </w:rPr>
        <w:t xml:space="preserve"> se</w:t>
      </w:r>
      <w:r>
        <w:rPr>
          <w:lang w:val="en-GB"/>
        </w:rPr>
        <w:t>ction</w:t>
      </w:r>
      <w:r w:rsidR="007C7775">
        <w:rPr>
          <w:lang w:val="en-GB"/>
        </w:rPr>
        <w:t>, is carri</w:t>
      </w:r>
      <w:r>
        <w:rPr>
          <w:lang w:val="en-GB"/>
        </w:rPr>
        <w:t xml:space="preserve">ed </w:t>
      </w:r>
      <w:r w:rsidR="007C7775">
        <w:rPr>
          <w:lang w:val="en-GB"/>
        </w:rPr>
        <w:t xml:space="preserve">out </w:t>
      </w:r>
      <w:r>
        <w:rPr>
          <w:lang w:val="en-GB"/>
        </w:rPr>
        <w:t>to shed light on causation.</w:t>
      </w:r>
    </w:p>
    <w:p w14:paraId="53BF282B" w14:textId="77777777" w:rsidR="00AB6A88" w:rsidRPr="00535A4C" w:rsidRDefault="00AB6A88" w:rsidP="00AC48D4">
      <w:pPr>
        <w:pStyle w:val="Heading2"/>
      </w:pPr>
    </w:p>
    <w:p w14:paraId="6774D4A8" w14:textId="77777777" w:rsidR="00AB6A88" w:rsidRPr="00535A4C" w:rsidRDefault="00016C23" w:rsidP="00AC48D4">
      <w:pPr>
        <w:pStyle w:val="Heading2"/>
      </w:pPr>
      <w:r>
        <w:t>3</w:t>
      </w:r>
      <w:r w:rsidR="00A95881" w:rsidRPr="00535A4C">
        <w:t>.</w:t>
      </w:r>
      <w:r>
        <w:t>2</w:t>
      </w:r>
      <w:r w:rsidR="00A95881" w:rsidRPr="00535A4C">
        <w:t xml:space="preserve"> </w:t>
      </w:r>
      <w:r w:rsidR="00AB6A88" w:rsidRPr="00535A4C">
        <w:t xml:space="preserve">Multichannel </w:t>
      </w:r>
      <w:r w:rsidR="003667A0" w:rsidRPr="00535A4C">
        <w:t>Singular Spectrum Analysis</w:t>
      </w:r>
      <w:r w:rsidR="00AB6A88" w:rsidRPr="00535A4C">
        <w:t xml:space="preserve"> </w:t>
      </w:r>
    </w:p>
    <w:p w14:paraId="080F2579" w14:textId="77777777" w:rsidR="00A95881" w:rsidRPr="00C975C2" w:rsidRDefault="00A50860" w:rsidP="00A95881">
      <w:pPr>
        <w:pStyle w:val="BodyText"/>
        <w:ind w:firstLine="0"/>
        <w:jc w:val="both"/>
        <w:rPr>
          <w:rFonts w:eastAsia="MS ??"/>
          <w:lang w:val="en-GB" w:eastAsia="ja-JP"/>
        </w:rPr>
      </w:pPr>
      <w:r w:rsidRPr="007B26A3">
        <w:rPr>
          <w:lang w:val="en-GB"/>
        </w:rPr>
        <w:t xml:space="preserve">On the basis of the </w:t>
      </w:r>
      <w:r w:rsidR="00AB6A88" w:rsidRPr="007B26A3">
        <w:rPr>
          <w:lang w:val="en-GB"/>
        </w:rPr>
        <w:t>Cochrane-</w:t>
      </w:r>
      <w:proofErr w:type="spellStart"/>
      <w:r w:rsidR="00AB6A88" w:rsidRPr="007B26A3">
        <w:rPr>
          <w:lang w:val="en-GB"/>
        </w:rPr>
        <w:t>Orcutt</w:t>
      </w:r>
      <w:proofErr w:type="spellEnd"/>
      <w:r w:rsidR="00AB6A88" w:rsidRPr="007B26A3">
        <w:rPr>
          <w:lang w:val="en-GB"/>
        </w:rPr>
        <w:t xml:space="preserve"> </w:t>
      </w:r>
      <w:proofErr w:type="gramStart"/>
      <w:r w:rsidR="00AB6A88" w:rsidRPr="007B26A3">
        <w:rPr>
          <w:lang w:val="en-GB"/>
        </w:rPr>
        <w:t>AR(</w:t>
      </w:r>
      <w:proofErr w:type="gramEnd"/>
      <w:r w:rsidR="00AB6A88" w:rsidRPr="007B26A3">
        <w:rPr>
          <w:lang w:val="en-GB"/>
        </w:rPr>
        <w:t xml:space="preserve">1) </w:t>
      </w:r>
      <w:r w:rsidR="007B26A3" w:rsidRPr="007B26A3">
        <w:rPr>
          <w:lang w:val="en-GB"/>
        </w:rPr>
        <w:t xml:space="preserve">procedure </w:t>
      </w:r>
      <w:r w:rsidRPr="007B26A3">
        <w:rPr>
          <w:lang w:val="en-GB"/>
        </w:rPr>
        <w:t>a</w:t>
      </w:r>
      <w:r w:rsidR="00AB6A88" w:rsidRPr="007B26A3">
        <w:rPr>
          <w:lang w:val="en-GB"/>
        </w:rPr>
        <w:t xml:space="preserve">nd </w:t>
      </w:r>
      <w:proofErr w:type="spellStart"/>
      <w:r w:rsidR="00AB6A88" w:rsidRPr="007B26A3">
        <w:rPr>
          <w:lang w:val="en-GB"/>
        </w:rPr>
        <w:t>logit</w:t>
      </w:r>
      <w:proofErr w:type="spellEnd"/>
      <w:r w:rsidR="00AB6A88" w:rsidRPr="007B26A3">
        <w:rPr>
          <w:lang w:val="en-GB"/>
        </w:rPr>
        <w:t xml:space="preserve"> </w:t>
      </w:r>
      <w:r w:rsidR="007B26A3" w:rsidRPr="007B26A3">
        <w:rPr>
          <w:lang w:val="en-GB"/>
        </w:rPr>
        <w:t>regression results</w:t>
      </w:r>
      <w:r w:rsidRPr="007B26A3">
        <w:rPr>
          <w:lang w:val="en-GB"/>
        </w:rPr>
        <w:t xml:space="preserve"> </w:t>
      </w:r>
      <w:r w:rsidR="00AB6A88" w:rsidRPr="007B26A3">
        <w:rPr>
          <w:lang w:val="en-GB"/>
        </w:rPr>
        <w:t xml:space="preserve">(not </w:t>
      </w:r>
      <w:r w:rsidRPr="007B26A3">
        <w:rPr>
          <w:lang w:val="en-GB"/>
        </w:rPr>
        <w:t>report</w:t>
      </w:r>
      <w:r w:rsidR="00AB6A88" w:rsidRPr="007B26A3">
        <w:rPr>
          <w:lang w:val="en-GB"/>
        </w:rPr>
        <w:t xml:space="preserve">ed here) </w:t>
      </w:r>
      <w:r w:rsidRPr="007B26A3">
        <w:rPr>
          <w:lang w:val="en-GB"/>
        </w:rPr>
        <w:t>we select 15</w:t>
      </w:r>
      <w:r w:rsidR="007B26A3">
        <w:rPr>
          <w:lang w:val="en-GB"/>
        </w:rPr>
        <w:t xml:space="preserve"> variables</w:t>
      </w:r>
      <w:r w:rsidR="007B26A3" w:rsidRPr="007B26A3">
        <w:rPr>
          <w:lang w:val="en-GB"/>
        </w:rPr>
        <w:t xml:space="preserve"> (statistically most significant)</w:t>
      </w:r>
      <w:r w:rsidRPr="007B26A3">
        <w:rPr>
          <w:lang w:val="en-GB"/>
        </w:rPr>
        <w:t xml:space="preserve"> </w:t>
      </w:r>
      <w:r w:rsidR="007B26A3" w:rsidRPr="007B26A3">
        <w:rPr>
          <w:lang w:val="en-GB"/>
        </w:rPr>
        <w:t xml:space="preserve">from the pool of </w:t>
      </w:r>
      <w:r w:rsidR="007B26A3">
        <w:rPr>
          <w:lang w:val="en-GB"/>
        </w:rPr>
        <w:t xml:space="preserve">total </w:t>
      </w:r>
      <w:r w:rsidRPr="007B26A3">
        <w:rPr>
          <w:lang w:val="en-GB"/>
        </w:rPr>
        <w:t xml:space="preserve">73 variables </w:t>
      </w:r>
      <w:r w:rsidR="007B26A3" w:rsidRPr="007B26A3">
        <w:rPr>
          <w:lang w:val="en-GB"/>
        </w:rPr>
        <w:t>examined</w:t>
      </w:r>
      <w:r w:rsidR="007B26A3">
        <w:rPr>
          <w:lang w:val="en-GB"/>
        </w:rPr>
        <w:t xml:space="preserve"> in this study</w:t>
      </w:r>
      <w:r w:rsidR="007B26A3" w:rsidRPr="007B26A3">
        <w:rPr>
          <w:lang w:val="en-GB"/>
        </w:rPr>
        <w:t>. Selected variables are</w:t>
      </w:r>
      <w:r w:rsidR="007B26A3">
        <w:rPr>
          <w:b/>
          <w:color w:val="FF0000"/>
          <w:lang w:val="en-GB"/>
        </w:rPr>
        <w:t xml:space="preserve"> </w:t>
      </w:r>
      <w:r w:rsidR="00AB6A88" w:rsidRPr="00535A4C">
        <w:rPr>
          <w:lang w:val="en-GB"/>
        </w:rPr>
        <w:t>CPI, DEBT, VOL, EXPSTIR, GOLDSIL, TURNOVER, RORK2, UN,</w:t>
      </w:r>
      <w:r w:rsidR="00994302" w:rsidRPr="00535A4C">
        <w:rPr>
          <w:lang w:val="en-GB"/>
        </w:rPr>
        <w:t xml:space="preserve"> M1, EXPP, DR, NIR</w:t>
      </w:r>
      <w:r w:rsidR="00681259">
        <w:rPr>
          <w:lang w:val="en-GB"/>
        </w:rPr>
        <w:t>6, EXP3, PPG (</w:t>
      </w:r>
      <w:proofErr w:type="gramStart"/>
      <w:r w:rsidR="00681259">
        <w:rPr>
          <w:lang w:val="en-GB"/>
        </w:rPr>
        <w:t>see  t</w:t>
      </w:r>
      <w:r w:rsidR="00ED3835" w:rsidRPr="00535A4C">
        <w:rPr>
          <w:lang w:val="en-GB"/>
        </w:rPr>
        <w:t>able</w:t>
      </w:r>
      <w:proofErr w:type="gramEnd"/>
      <w:r w:rsidR="00ED3835" w:rsidRPr="00535A4C">
        <w:rPr>
          <w:lang w:val="en-GB"/>
        </w:rPr>
        <w:t xml:space="preserve"> A1).</w:t>
      </w:r>
      <w:r w:rsidR="006457E4" w:rsidRPr="00535A4C">
        <w:rPr>
          <w:lang w:val="en-GB"/>
        </w:rPr>
        <w:t xml:space="preserve"> </w:t>
      </w:r>
      <w:r w:rsidR="00B50EEF" w:rsidRPr="00CF408B">
        <w:rPr>
          <w:lang w:val="en-GB"/>
        </w:rPr>
        <w:t xml:space="preserve">VOL </w:t>
      </w:r>
      <w:r w:rsidR="00CF408B">
        <w:rPr>
          <w:lang w:val="en-GB"/>
        </w:rPr>
        <w:t xml:space="preserve">stands for gold price volatility and </w:t>
      </w:r>
      <w:r w:rsidR="00681259" w:rsidRPr="00CF408B">
        <w:rPr>
          <w:lang w:val="en-GB"/>
        </w:rPr>
        <w:t xml:space="preserve">is a </w:t>
      </w:r>
      <w:r w:rsidR="00B50EEF" w:rsidRPr="00CF408B">
        <w:rPr>
          <w:lang w:val="en-GB"/>
        </w:rPr>
        <w:t>proxy for</w:t>
      </w:r>
      <w:r w:rsidR="00681259" w:rsidRPr="00CF408B">
        <w:rPr>
          <w:lang w:val="en-GB"/>
        </w:rPr>
        <w:t xml:space="preserve"> the gold</w:t>
      </w:r>
      <w:r w:rsidR="00CF408B" w:rsidRPr="00CF408B">
        <w:rPr>
          <w:lang w:val="en-GB"/>
        </w:rPr>
        <w:t xml:space="preserve"> stan</w:t>
      </w:r>
      <w:r w:rsidR="00CF408B">
        <w:rPr>
          <w:lang w:val="en-GB"/>
        </w:rPr>
        <w:t xml:space="preserve">dard regime shift, with no effect on the price-interest rate link. </w:t>
      </w:r>
      <w:r w:rsidR="00B50EEF" w:rsidRPr="00CF408B">
        <w:rPr>
          <w:lang w:val="en-GB"/>
        </w:rPr>
        <w:t>D</w:t>
      </w:r>
      <w:r w:rsidR="00CF408B" w:rsidRPr="00CF408B">
        <w:rPr>
          <w:lang w:val="en-GB"/>
        </w:rPr>
        <w:t xml:space="preserve">R </w:t>
      </w:r>
      <w:r w:rsidR="00CF408B">
        <w:rPr>
          <w:lang w:val="en-GB"/>
        </w:rPr>
        <w:t>is the DNB bank discount rate (</w:t>
      </w:r>
      <w:r w:rsidR="00CF408B" w:rsidRPr="00CF408B">
        <w:rPr>
          <w:lang w:val="en-GB"/>
        </w:rPr>
        <w:t>primary credit rate</w:t>
      </w:r>
      <w:r w:rsidR="00CF408B">
        <w:rPr>
          <w:lang w:val="en-GB"/>
        </w:rPr>
        <w:t xml:space="preserve">) and is a proxy </w:t>
      </w:r>
      <w:r w:rsidR="00CF408B" w:rsidRPr="00CF408B">
        <w:rPr>
          <w:lang w:val="en-GB"/>
        </w:rPr>
        <w:t xml:space="preserve">for </w:t>
      </w:r>
      <w:r w:rsidR="00B50EEF" w:rsidRPr="00CF408B">
        <w:rPr>
          <w:lang w:val="en-GB"/>
        </w:rPr>
        <w:t>inflation policy regime shifts</w:t>
      </w:r>
      <w:r w:rsidR="00CF408B">
        <w:rPr>
          <w:lang w:val="en-GB"/>
        </w:rPr>
        <w:t>, which appear to have a significant impact instead</w:t>
      </w:r>
      <w:r w:rsidR="00B50EEF" w:rsidRPr="00CF408B">
        <w:rPr>
          <w:lang w:val="en-GB"/>
        </w:rPr>
        <w:t>.</w:t>
      </w:r>
      <w:r w:rsidR="00B50EEF" w:rsidRPr="00535A4C">
        <w:rPr>
          <w:lang w:val="en-GB"/>
        </w:rPr>
        <w:t xml:space="preserve"> </w:t>
      </w:r>
      <w:r w:rsidR="00CF408B">
        <w:rPr>
          <w:lang w:val="en-GB"/>
        </w:rPr>
        <w:t xml:space="preserve">Overall, the </w:t>
      </w:r>
      <w:r w:rsidR="003C4839">
        <w:rPr>
          <w:rFonts w:eastAsia="MS ??"/>
          <w:lang w:val="en-GB" w:eastAsia="ja-JP"/>
        </w:rPr>
        <w:t xml:space="preserve">MSSA model </w:t>
      </w:r>
      <w:r w:rsidR="00CF408B">
        <w:rPr>
          <w:rFonts w:eastAsia="MS ??"/>
          <w:lang w:val="en-GB" w:eastAsia="ja-JP"/>
        </w:rPr>
        <w:t xml:space="preserve">confirms that </w:t>
      </w:r>
      <w:r w:rsidR="003C4839">
        <w:rPr>
          <w:rFonts w:eastAsia="MS ??"/>
          <w:lang w:val="en-GB" w:eastAsia="ja-JP"/>
        </w:rPr>
        <w:t>Gibson</w:t>
      </w:r>
      <w:r w:rsidR="00CF408B">
        <w:rPr>
          <w:rFonts w:eastAsia="MS ??"/>
          <w:lang w:val="en-GB" w:eastAsia="ja-JP"/>
        </w:rPr>
        <w:t>’s</w:t>
      </w:r>
      <w:r w:rsidR="003C4839">
        <w:rPr>
          <w:rFonts w:eastAsia="MS ??"/>
          <w:lang w:val="en-GB" w:eastAsia="ja-JP"/>
        </w:rPr>
        <w:t xml:space="preserve"> paradox was still presen</w:t>
      </w:r>
      <w:r w:rsidR="00F30FA0">
        <w:rPr>
          <w:rFonts w:eastAsia="MS ??"/>
          <w:lang w:val="en-GB" w:eastAsia="ja-JP"/>
        </w:rPr>
        <w:t xml:space="preserve">t in the Netherlands after the II </w:t>
      </w:r>
      <w:r w:rsidR="003C4839">
        <w:rPr>
          <w:rFonts w:eastAsia="MS ??"/>
          <w:lang w:val="en-GB" w:eastAsia="ja-JP"/>
        </w:rPr>
        <w:t>World War</w:t>
      </w:r>
      <w:r w:rsidR="00CF408B">
        <w:rPr>
          <w:rFonts w:eastAsia="MS ??"/>
          <w:lang w:val="en-GB" w:eastAsia="ja-JP"/>
        </w:rPr>
        <w:t>, in fact until 2008 (see Figure 3)</w:t>
      </w:r>
      <w:r w:rsidR="003C4839">
        <w:rPr>
          <w:rFonts w:eastAsia="MS ??"/>
          <w:lang w:val="en-GB" w:eastAsia="ja-JP"/>
        </w:rPr>
        <w:t xml:space="preserve">. </w:t>
      </w:r>
      <w:r w:rsidR="00925FDA">
        <w:rPr>
          <w:rFonts w:eastAsia="MS ??"/>
          <w:lang w:val="en-GB" w:eastAsia="ja-JP"/>
        </w:rPr>
        <w:t>The</w:t>
      </w:r>
      <w:r w:rsidR="00F30FA0">
        <w:rPr>
          <w:rFonts w:eastAsia="MS ??"/>
          <w:lang w:val="en-GB" w:eastAsia="ja-JP"/>
        </w:rPr>
        <w:t xml:space="preserve"> substantial fall in </w:t>
      </w:r>
      <w:r w:rsidR="00925FDA">
        <w:rPr>
          <w:rFonts w:eastAsia="MS ??"/>
          <w:lang w:val="en-GB" w:eastAsia="ja-JP"/>
        </w:rPr>
        <w:t xml:space="preserve">bond </w:t>
      </w:r>
      <w:r w:rsidR="00F30FA0">
        <w:rPr>
          <w:rFonts w:eastAsia="MS ??"/>
          <w:lang w:val="en-GB" w:eastAsia="ja-JP"/>
        </w:rPr>
        <w:t xml:space="preserve">yields </w:t>
      </w:r>
      <w:r w:rsidR="00925FDA">
        <w:rPr>
          <w:rFonts w:eastAsia="MS ??"/>
          <w:lang w:val="en-GB" w:eastAsia="ja-JP"/>
        </w:rPr>
        <w:t>that occurred from 1978 was in fact accompanied by a fall in price</w:t>
      </w:r>
      <w:r w:rsidR="00F30FA0">
        <w:rPr>
          <w:rFonts w:eastAsia="MS ??"/>
          <w:lang w:val="en-GB" w:eastAsia="ja-JP"/>
        </w:rPr>
        <w:t>s</w:t>
      </w:r>
      <w:r w:rsidR="001D13C9">
        <w:rPr>
          <w:rFonts w:eastAsia="MS ??"/>
          <w:lang w:val="en-GB" w:eastAsia="ja-JP"/>
        </w:rPr>
        <w:t xml:space="preserve"> (until 1999)</w:t>
      </w:r>
      <w:r w:rsidR="00925FDA">
        <w:rPr>
          <w:rFonts w:eastAsia="MS ??"/>
          <w:lang w:val="en-GB" w:eastAsia="ja-JP"/>
        </w:rPr>
        <w:t xml:space="preserve">. </w:t>
      </w:r>
      <w:r w:rsidR="00CF408B">
        <w:rPr>
          <w:rFonts w:eastAsia="MS ??"/>
          <w:lang w:val="en-GB" w:eastAsia="ja-JP"/>
        </w:rPr>
        <w:lastRenderedPageBreak/>
        <w:t xml:space="preserve">The loss of monetary policy independence in </w:t>
      </w:r>
      <w:r w:rsidR="00061966">
        <w:rPr>
          <w:rFonts w:eastAsia="MS ??"/>
          <w:lang w:val="en-GB" w:eastAsia="ja-JP"/>
        </w:rPr>
        <w:t>January 1999</w:t>
      </w:r>
      <w:r w:rsidR="00CF408B">
        <w:rPr>
          <w:rFonts w:eastAsia="MS ??"/>
          <w:lang w:val="en-GB" w:eastAsia="ja-JP"/>
        </w:rPr>
        <w:t xml:space="preserve"> </w:t>
      </w:r>
      <w:r w:rsidR="00061966">
        <w:rPr>
          <w:rFonts w:eastAsia="MS ??"/>
          <w:lang w:val="en-GB" w:eastAsia="ja-JP"/>
        </w:rPr>
        <w:t xml:space="preserve">could be a plausible explanation for the </w:t>
      </w:r>
      <w:r w:rsidR="00CF408B">
        <w:rPr>
          <w:rFonts w:eastAsia="MS ??"/>
          <w:lang w:val="en-GB" w:eastAsia="ja-JP"/>
        </w:rPr>
        <w:t xml:space="preserve">disappearance of Gibson’s </w:t>
      </w:r>
      <w:r w:rsidR="00061966">
        <w:rPr>
          <w:rFonts w:eastAsia="MS ??"/>
          <w:lang w:val="en-GB" w:eastAsia="ja-JP"/>
        </w:rPr>
        <w:t>paradox</w:t>
      </w:r>
      <w:r w:rsidR="00F30FA0">
        <w:rPr>
          <w:rFonts w:eastAsia="MS ??"/>
          <w:lang w:val="en-GB" w:eastAsia="ja-JP"/>
        </w:rPr>
        <w:t xml:space="preserve"> </w:t>
      </w:r>
      <w:r w:rsidR="00CF408B">
        <w:rPr>
          <w:rFonts w:eastAsia="MS ??"/>
          <w:lang w:val="en-GB" w:eastAsia="ja-JP"/>
        </w:rPr>
        <w:t xml:space="preserve">after 2008. </w:t>
      </w:r>
    </w:p>
    <w:p w14:paraId="481D50C6" w14:textId="77777777" w:rsidR="00A95881" w:rsidRPr="00CF408B" w:rsidRDefault="00A95881" w:rsidP="00A95881">
      <w:pPr>
        <w:pStyle w:val="BodyText"/>
        <w:ind w:firstLine="0"/>
        <w:jc w:val="both"/>
        <w:rPr>
          <w:b/>
          <w:lang w:val="en-GB"/>
        </w:rPr>
      </w:pPr>
    </w:p>
    <w:p w14:paraId="27B09027" w14:textId="77777777" w:rsidR="00AB6A88" w:rsidRPr="00CF408B" w:rsidRDefault="00A95881" w:rsidP="00A95881">
      <w:pPr>
        <w:pStyle w:val="FigureCaptionLabel"/>
        <w:rPr>
          <w:b/>
          <w:i w:val="0"/>
        </w:rPr>
      </w:pPr>
      <w:r w:rsidRPr="00CF408B">
        <w:rPr>
          <w:b/>
          <w:i w:val="0"/>
        </w:rPr>
        <w:t>Insert Figure 7 around here</w:t>
      </w:r>
    </w:p>
    <w:p w14:paraId="3B96E1F0" w14:textId="77777777" w:rsidR="00AB6A88" w:rsidRPr="00535A4C" w:rsidRDefault="00AB6A88" w:rsidP="00E8204B">
      <w:pPr>
        <w:pStyle w:val="BodyText"/>
        <w:jc w:val="both"/>
        <w:rPr>
          <w:lang w:val="en-GB"/>
        </w:rPr>
      </w:pPr>
    </w:p>
    <w:p w14:paraId="26668FC0" w14:textId="77777777" w:rsidR="00AB6A88" w:rsidRPr="00535A4C" w:rsidRDefault="00AB6A88" w:rsidP="00755FE3">
      <w:pPr>
        <w:pStyle w:val="BodyText"/>
        <w:jc w:val="both"/>
        <w:rPr>
          <w:lang w:val="en-GB"/>
        </w:rPr>
      </w:pPr>
      <w:r w:rsidRPr="00535A4C">
        <w:rPr>
          <w:lang w:val="en-GB"/>
        </w:rPr>
        <w:t>Figure 7 show</w:t>
      </w:r>
      <w:r w:rsidR="006B455A" w:rsidRPr="00535A4C">
        <w:rPr>
          <w:lang w:val="en-GB"/>
        </w:rPr>
        <w:t>s</w:t>
      </w:r>
      <w:r w:rsidR="00F30FA0">
        <w:rPr>
          <w:lang w:val="en-GB"/>
        </w:rPr>
        <w:t xml:space="preserve"> the </w:t>
      </w:r>
      <w:r w:rsidRPr="00535A4C">
        <w:rPr>
          <w:lang w:val="en-GB"/>
        </w:rPr>
        <w:t xml:space="preserve">Monte Carlo singular spectral analysis </w:t>
      </w:r>
      <w:r w:rsidR="00321109" w:rsidRPr="00535A4C">
        <w:rPr>
          <w:lang w:val="en-GB"/>
        </w:rPr>
        <w:t xml:space="preserve">(SSA) </w:t>
      </w:r>
      <w:r w:rsidRPr="00535A4C">
        <w:rPr>
          <w:lang w:val="en-GB"/>
        </w:rPr>
        <w:t xml:space="preserve">for the transformed LR series. It is </w:t>
      </w:r>
      <w:r w:rsidR="00CF408B">
        <w:rPr>
          <w:lang w:val="en-GB"/>
        </w:rPr>
        <w:t xml:space="preserve">clear </w:t>
      </w:r>
      <w:r w:rsidRPr="00535A4C">
        <w:rPr>
          <w:lang w:val="en-GB"/>
        </w:rPr>
        <w:t xml:space="preserve">that </w:t>
      </w:r>
      <w:r w:rsidR="00CF408B">
        <w:rPr>
          <w:lang w:val="en-GB"/>
        </w:rPr>
        <w:t xml:space="preserve">there are </w:t>
      </w:r>
      <w:r w:rsidRPr="00535A4C">
        <w:rPr>
          <w:lang w:val="en-GB"/>
        </w:rPr>
        <w:t>no component</w:t>
      </w:r>
      <w:r w:rsidR="00CF408B">
        <w:rPr>
          <w:lang w:val="en-GB"/>
        </w:rPr>
        <w:t>s</w:t>
      </w:r>
      <w:r w:rsidR="00F30FA0">
        <w:rPr>
          <w:lang w:val="en-GB"/>
        </w:rPr>
        <w:t xml:space="preserve"> </w:t>
      </w:r>
      <w:r w:rsidRPr="00535A4C">
        <w:rPr>
          <w:lang w:val="en-GB"/>
        </w:rPr>
        <w:t>significantly different from the sim</w:t>
      </w:r>
      <w:r w:rsidR="00CF408B">
        <w:rPr>
          <w:lang w:val="en-GB"/>
        </w:rPr>
        <w:t xml:space="preserve">ulated </w:t>
      </w:r>
      <w:r w:rsidRPr="00535A4C">
        <w:rPr>
          <w:lang w:val="en-GB"/>
        </w:rPr>
        <w:t>red noise. The analysis is done for M</w:t>
      </w:r>
      <w:r w:rsidR="00CF408B">
        <w:rPr>
          <w:lang w:val="en-GB"/>
        </w:rPr>
        <w:t xml:space="preserve"> </w:t>
      </w:r>
      <w:r w:rsidRPr="00535A4C">
        <w:rPr>
          <w:lang w:val="en-GB"/>
        </w:rPr>
        <w:t xml:space="preserve">(window length) = 50,100 with </w:t>
      </w:r>
      <w:r w:rsidR="00755FE3">
        <w:rPr>
          <w:lang w:val="en-GB"/>
        </w:rPr>
        <w:t xml:space="preserve">confidence intervals </w:t>
      </w:r>
      <w:r w:rsidRPr="00535A4C">
        <w:rPr>
          <w:lang w:val="en-GB"/>
        </w:rPr>
        <w:t>representing 2.5 (lower tick) and 97.5 (upper tick) red noise percentiles. Monte Carlo significance test</w:t>
      </w:r>
      <w:r w:rsidR="00F30FA0">
        <w:rPr>
          <w:lang w:val="en-GB"/>
        </w:rPr>
        <w:t>s</w:t>
      </w:r>
      <w:r w:rsidRPr="00535A4C">
        <w:rPr>
          <w:lang w:val="en-GB"/>
        </w:rPr>
        <w:t xml:space="preserve"> did not d</w:t>
      </w:r>
      <w:r w:rsidR="00755FE3">
        <w:rPr>
          <w:lang w:val="en-GB"/>
        </w:rPr>
        <w:t>etect</w:t>
      </w:r>
      <w:r w:rsidRPr="00535A4C">
        <w:rPr>
          <w:lang w:val="en-GB"/>
        </w:rPr>
        <w:t xml:space="preserve"> any significant deterministic and oscillatory pattern</w:t>
      </w:r>
      <w:r w:rsidR="00F30FA0">
        <w:rPr>
          <w:lang w:val="en-GB"/>
        </w:rPr>
        <w:t>s</w:t>
      </w:r>
      <w:r w:rsidRPr="00535A4C">
        <w:rPr>
          <w:lang w:val="en-GB"/>
        </w:rPr>
        <w:t xml:space="preserve"> in the trans</w:t>
      </w:r>
      <w:r w:rsidR="00755FE3">
        <w:rPr>
          <w:lang w:val="en-GB"/>
        </w:rPr>
        <w:t>formed LR series. Dutch bond yields</w:t>
      </w:r>
      <w:r w:rsidRPr="00535A4C">
        <w:rPr>
          <w:lang w:val="en-GB"/>
        </w:rPr>
        <w:t xml:space="preserve"> cannot be distinguished from </w:t>
      </w:r>
      <w:r w:rsidR="00755FE3">
        <w:rPr>
          <w:lang w:val="en-GB"/>
        </w:rPr>
        <w:t xml:space="preserve">a </w:t>
      </w:r>
      <w:r w:rsidRPr="00535A4C">
        <w:rPr>
          <w:lang w:val="en-GB"/>
        </w:rPr>
        <w:t xml:space="preserve">red noise </w:t>
      </w:r>
      <w:proofErr w:type="gramStart"/>
      <w:r w:rsidRPr="00535A4C">
        <w:rPr>
          <w:lang w:val="en-GB"/>
        </w:rPr>
        <w:t>AR(</w:t>
      </w:r>
      <w:proofErr w:type="gramEnd"/>
      <w:r w:rsidRPr="00535A4C">
        <w:rPr>
          <w:lang w:val="en-GB"/>
        </w:rPr>
        <w:t xml:space="preserve">1) process since </w:t>
      </w:r>
      <w:r w:rsidR="00755FE3">
        <w:rPr>
          <w:lang w:val="en-GB"/>
        </w:rPr>
        <w:t xml:space="preserve">the </w:t>
      </w:r>
      <w:r w:rsidRPr="00535A4C">
        <w:rPr>
          <w:lang w:val="en-GB"/>
        </w:rPr>
        <w:t xml:space="preserve">eigenvalues of LR lie within </w:t>
      </w:r>
      <w:r w:rsidR="00755FE3">
        <w:rPr>
          <w:lang w:val="en-GB"/>
        </w:rPr>
        <w:t xml:space="preserve">the </w:t>
      </w:r>
      <w:r w:rsidRPr="007B26A3">
        <w:rPr>
          <w:lang w:val="en-GB"/>
        </w:rPr>
        <w:t xml:space="preserve">red noise process </w:t>
      </w:r>
      <w:r w:rsidR="007B26A3">
        <w:rPr>
          <w:lang w:val="en-GB"/>
        </w:rPr>
        <w:t>bound.</w:t>
      </w:r>
      <w:r w:rsidRPr="00535A4C">
        <w:rPr>
          <w:lang w:val="en-GB"/>
        </w:rPr>
        <w:t xml:space="preserve"> Since no significant oscillatory pair (extracted spectral components) outside the re</w:t>
      </w:r>
      <w:r w:rsidR="00755FE3">
        <w:rPr>
          <w:lang w:val="en-GB"/>
        </w:rPr>
        <w:t>d noise bound has been foun</w:t>
      </w:r>
      <w:r w:rsidRPr="00535A4C">
        <w:rPr>
          <w:lang w:val="en-GB"/>
        </w:rPr>
        <w:t xml:space="preserve">d, the null hypothesis of transformed LR series following </w:t>
      </w:r>
      <w:r w:rsidR="00F30FA0">
        <w:rPr>
          <w:lang w:val="en-GB"/>
        </w:rPr>
        <w:t xml:space="preserve">a </w:t>
      </w:r>
      <w:r w:rsidRPr="00535A4C">
        <w:rPr>
          <w:lang w:val="en-GB"/>
        </w:rPr>
        <w:t xml:space="preserve">red noise process, i.e. </w:t>
      </w:r>
      <w:r w:rsidR="00F30FA0">
        <w:rPr>
          <w:lang w:val="en-GB"/>
        </w:rPr>
        <w:t xml:space="preserve">an </w:t>
      </w:r>
      <w:proofErr w:type="gramStart"/>
      <w:r w:rsidR="00F30FA0">
        <w:rPr>
          <w:lang w:val="en-GB"/>
        </w:rPr>
        <w:t>AR(</w:t>
      </w:r>
      <w:proofErr w:type="gramEnd"/>
      <w:r w:rsidR="00F30FA0">
        <w:rPr>
          <w:lang w:val="en-GB"/>
        </w:rPr>
        <w:t xml:space="preserve">1) one, </w:t>
      </w:r>
      <w:r w:rsidR="00755FE3">
        <w:rPr>
          <w:lang w:val="en-GB"/>
        </w:rPr>
        <w:t>cannot be rejected. Thus, movements in LR can</w:t>
      </w:r>
      <w:r w:rsidRPr="00535A4C">
        <w:rPr>
          <w:lang w:val="en-GB"/>
        </w:rPr>
        <w:t xml:space="preserve">not be explained by trend, periodic or oscillatory components in the series. This </w:t>
      </w:r>
      <w:r w:rsidR="00755FE3">
        <w:rPr>
          <w:lang w:val="en-GB"/>
        </w:rPr>
        <w:t xml:space="preserve">implies that the </w:t>
      </w:r>
      <w:r w:rsidRPr="00535A4C">
        <w:rPr>
          <w:lang w:val="en-GB"/>
        </w:rPr>
        <w:t xml:space="preserve">MSSA </w:t>
      </w:r>
      <w:r w:rsidR="00755FE3">
        <w:rPr>
          <w:lang w:val="en-GB"/>
        </w:rPr>
        <w:t xml:space="preserve">analysis </w:t>
      </w:r>
      <w:r w:rsidR="00755FE3" w:rsidRPr="00755FE3">
        <w:rPr>
          <w:lang w:val="en-GB"/>
        </w:rPr>
        <w:t xml:space="preserve">of the bivariate relationship between LR and LCPI </w:t>
      </w:r>
      <w:r w:rsidR="00755FE3">
        <w:rPr>
          <w:lang w:val="en-GB"/>
        </w:rPr>
        <w:t xml:space="preserve">is necessary </w:t>
      </w:r>
      <w:r w:rsidRPr="00535A4C">
        <w:rPr>
          <w:lang w:val="en-GB"/>
        </w:rPr>
        <w:t xml:space="preserve">to </w:t>
      </w:r>
      <w:r w:rsidR="000224E0" w:rsidRPr="00535A4C">
        <w:rPr>
          <w:lang w:val="en-GB"/>
        </w:rPr>
        <w:t>describe</w:t>
      </w:r>
      <w:r w:rsidRPr="00535A4C">
        <w:rPr>
          <w:lang w:val="en-GB"/>
        </w:rPr>
        <w:t xml:space="preserve"> </w:t>
      </w:r>
      <w:r w:rsidR="00F30FA0">
        <w:rPr>
          <w:lang w:val="en-GB"/>
        </w:rPr>
        <w:t>the LR dynamics</w:t>
      </w:r>
      <w:r w:rsidR="00755FE3">
        <w:rPr>
          <w:lang w:val="en-GB"/>
        </w:rPr>
        <w:t xml:space="preserve">. </w:t>
      </w:r>
    </w:p>
    <w:p w14:paraId="47A5913D" w14:textId="77777777" w:rsidR="00A95881" w:rsidRPr="00535A4C" w:rsidRDefault="00A95881" w:rsidP="00E8204B">
      <w:pPr>
        <w:pStyle w:val="BodyText"/>
        <w:jc w:val="both"/>
        <w:rPr>
          <w:lang w:val="en-GB"/>
        </w:rPr>
      </w:pPr>
    </w:p>
    <w:p w14:paraId="35C1BEDB" w14:textId="77777777" w:rsidR="00AB6A88" w:rsidRPr="00755FE3" w:rsidRDefault="00A95881" w:rsidP="00A95881">
      <w:pPr>
        <w:pStyle w:val="FigureCaptionLabel"/>
        <w:rPr>
          <w:b/>
          <w:i w:val="0"/>
        </w:rPr>
      </w:pPr>
      <w:r w:rsidRPr="00755FE3">
        <w:rPr>
          <w:b/>
          <w:i w:val="0"/>
        </w:rPr>
        <w:t>Insert Figure 8 around here</w:t>
      </w:r>
    </w:p>
    <w:p w14:paraId="64C3AE66" w14:textId="77777777" w:rsidR="00A95881" w:rsidRPr="00535A4C" w:rsidRDefault="00A95881" w:rsidP="00A95881">
      <w:pPr>
        <w:pStyle w:val="FigureCaptionLabel"/>
      </w:pPr>
    </w:p>
    <w:p w14:paraId="42066CE6" w14:textId="77777777" w:rsidR="007F6BCC" w:rsidRDefault="00AB6A88" w:rsidP="00E8204B">
      <w:pPr>
        <w:pStyle w:val="BodyText"/>
        <w:jc w:val="both"/>
        <w:rPr>
          <w:lang w:val="en-GB"/>
        </w:rPr>
      </w:pPr>
      <w:r w:rsidRPr="00535A4C">
        <w:rPr>
          <w:lang w:val="en-GB"/>
        </w:rPr>
        <w:t>Figure 8 show</w:t>
      </w:r>
      <w:r w:rsidR="006B455A" w:rsidRPr="00535A4C">
        <w:rPr>
          <w:lang w:val="en-GB"/>
        </w:rPr>
        <w:t>s</w:t>
      </w:r>
      <w:r w:rsidRPr="00535A4C">
        <w:rPr>
          <w:lang w:val="en-GB"/>
        </w:rPr>
        <w:t xml:space="preserve"> </w:t>
      </w:r>
      <w:r w:rsidR="00F30FA0">
        <w:rPr>
          <w:lang w:val="en-GB"/>
        </w:rPr>
        <w:t xml:space="preserve">the </w:t>
      </w:r>
      <w:r w:rsidRPr="00535A4C">
        <w:rPr>
          <w:lang w:val="en-GB"/>
        </w:rPr>
        <w:t xml:space="preserve">statistically significant oscillatory patterns in LR and LCPI </w:t>
      </w:r>
      <w:r w:rsidR="00966BE7" w:rsidRPr="00535A4C">
        <w:rPr>
          <w:lang w:val="en-GB"/>
        </w:rPr>
        <w:t>around</w:t>
      </w:r>
      <w:r w:rsidRPr="00535A4C">
        <w:rPr>
          <w:lang w:val="en-GB"/>
        </w:rPr>
        <w:t xml:space="preserve"> </w:t>
      </w:r>
      <w:r w:rsidR="0033188B">
        <w:rPr>
          <w:lang w:val="en-GB"/>
        </w:rPr>
        <w:t xml:space="preserve">the </w:t>
      </w:r>
      <w:r w:rsidRPr="00535A4C">
        <w:rPr>
          <w:lang w:val="en-GB"/>
        </w:rPr>
        <w:t xml:space="preserve">frequency 0.18-0.20 indicating a possible five-year cycle.  Since </w:t>
      </w:r>
      <w:r w:rsidR="0033188B">
        <w:rPr>
          <w:lang w:val="en-GB"/>
        </w:rPr>
        <w:t xml:space="preserve">they </w:t>
      </w:r>
      <w:r w:rsidRPr="00535A4C">
        <w:rPr>
          <w:lang w:val="en-GB"/>
        </w:rPr>
        <w:t xml:space="preserve">do not repeat </w:t>
      </w:r>
      <w:r w:rsidR="0033188B">
        <w:rPr>
          <w:lang w:val="en-GB"/>
        </w:rPr>
        <w:t xml:space="preserve">themselves over </w:t>
      </w:r>
      <w:r w:rsidRPr="00535A4C">
        <w:rPr>
          <w:lang w:val="en-GB"/>
        </w:rPr>
        <w:t>time</w:t>
      </w:r>
      <w:r w:rsidR="00966BE7" w:rsidRPr="00535A4C">
        <w:rPr>
          <w:lang w:val="en-GB"/>
        </w:rPr>
        <w:t>,</w:t>
      </w:r>
      <w:r w:rsidR="0033188B">
        <w:rPr>
          <w:lang w:val="en-GB"/>
        </w:rPr>
        <w:t xml:space="preserve"> they</w:t>
      </w:r>
      <w:r w:rsidRPr="00535A4C">
        <w:rPr>
          <w:lang w:val="en-GB"/>
        </w:rPr>
        <w:t xml:space="preserve"> </w:t>
      </w:r>
      <w:r w:rsidR="004358E2" w:rsidRPr="00535A4C">
        <w:rPr>
          <w:lang w:val="en-GB"/>
        </w:rPr>
        <w:t>cannot</w:t>
      </w:r>
      <w:r w:rsidR="0033188B">
        <w:rPr>
          <w:lang w:val="en-GB"/>
        </w:rPr>
        <w:t xml:space="preserve"> be defined as cycles in </w:t>
      </w:r>
      <w:r w:rsidRPr="00535A4C">
        <w:rPr>
          <w:lang w:val="en-GB"/>
        </w:rPr>
        <w:t>Gibson</w:t>
      </w:r>
      <w:r w:rsidR="0033188B">
        <w:rPr>
          <w:lang w:val="en-GB"/>
        </w:rPr>
        <w:t>’s</w:t>
      </w:r>
      <w:r w:rsidRPr="00535A4C">
        <w:rPr>
          <w:lang w:val="en-GB"/>
        </w:rPr>
        <w:t xml:space="preserve"> paradox. </w:t>
      </w:r>
      <w:r w:rsidR="0033188B">
        <w:rPr>
          <w:lang w:val="en-GB"/>
        </w:rPr>
        <w:t>The c</w:t>
      </w:r>
      <w:r w:rsidR="00F30FA0">
        <w:rPr>
          <w:lang w:val="en-GB"/>
        </w:rPr>
        <w:t>alculated eigenvalue</w:t>
      </w:r>
      <w:r w:rsidRPr="00535A4C">
        <w:rPr>
          <w:lang w:val="en-GB"/>
        </w:rPr>
        <w:t xml:space="preserve"> pairs are not statistically significant for </w:t>
      </w:r>
      <w:r w:rsidR="0033188B">
        <w:rPr>
          <w:lang w:val="en-GB"/>
        </w:rPr>
        <w:t xml:space="preserve">either short or </w:t>
      </w:r>
      <w:r w:rsidRPr="00535A4C">
        <w:rPr>
          <w:lang w:val="en-GB"/>
        </w:rPr>
        <w:t xml:space="preserve">high frequencies. This </w:t>
      </w:r>
      <w:r w:rsidR="00F30FA0">
        <w:rPr>
          <w:lang w:val="en-GB"/>
        </w:rPr>
        <w:t xml:space="preserve">implies </w:t>
      </w:r>
      <w:r w:rsidRPr="00535A4C">
        <w:rPr>
          <w:lang w:val="en-GB"/>
        </w:rPr>
        <w:t xml:space="preserve">that changes in LR and LCPI during </w:t>
      </w:r>
      <w:r w:rsidR="0033188B">
        <w:rPr>
          <w:lang w:val="en-GB"/>
        </w:rPr>
        <w:t xml:space="preserve">the </w:t>
      </w:r>
      <w:r w:rsidRPr="00535A4C">
        <w:rPr>
          <w:lang w:val="en-GB"/>
        </w:rPr>
        <w:t>1-4 year period and &gt; 6 period</w:t>
      </w:r>
      <w:r w:rsidR="0033188B">
        <w:rPr>
          <w:lang w:val="en-GB"/>
        </w:rPr>
        <w:t>s</w:t>
      </w:r>
      <w:r w:rsidRPr="00535A4C">
        <w:rPr>
          <w:lang w:val="en-GB"/>
        </w:rPr>
        <w:t xml:space="preserve"> have no </w:t>
      </w:r>
      <w:r w:rsidRPr="00535A4C">
        <w:rPr>
          <w:lang w:val="en-GB"/>
        </w:rPr>
        <w:lastRenderedPageBreak/>
        <w:t>significant impact on the relationship between</w:t>
      </w:r>
      <w:r w:rsidR="0033188B">
        <w:rPr>
          <w:lang w:val="en-GB"/>
        </w:rPr>
        <w:t xml:space="preserve"> LR and LCPI. Variations in </w:t>
      </w:r>
      <w:r w:rsidRPr="00535A4C">
        <w:rPr>
          <w:lang w:val="en-GB"/>
        </w:rPr>
        <w:t>Gibson</w:t>
      </w:r>
      <w:r w:rsidR="0033188B">
        <w:rPr>
          <w:lang w:val="en-GB"/>
        </w:rPr>
        <w:t>’s</w:t>
      </w:r>
      <w:r w:rsidRPr="00535A4C">
        <w:rPr>
          <w:lang w:val="en-GB"/>
        </w:rPr>
        <w:t xml:space="preserve"> paradox can be explained by fluctuations in interest rates and prices over</w:t>
      </w:r>
      <w:r w:rsidR="00360477" w:rsidRPr="00535A4C">
        <w:rPr>
          <w:lang w:val="en-GB"/>
        </w:rPr>
        <w:t xml:space="preserve"> </w:t>
      </w:r>
      <w:r w:rsidR="0033188B">
        <w:rPr>
          <w:lang w:val="en-GB"/>
        </w:rPr>
        <w:t xml:space="preserve">the </w:t>
      </w:r>
      <w:r w:rsidRPr="00535A4C">
        <w:rPr>
          <w:lang w:val="en-GB"/>
        </w:rPr>
        <w:t xml:space="preserve">5-5.5 </w:t>
      </w:r>
      <w:r w:rsidR="00F31496" w:rsidRPr="00535A4C">
        <w:rPr>
          <w:lang w:val="en-GB"/>
        </w:rPr>
        <w:t>year’s</w:t>
      </w:r>
      <w:r w:rsidRPr="00535A4C">
        <w:rPr>
          <w:lang w:val="en-GB"/>
        </w:rPr>
        <w:t xml:space="preserve"> period. Changes in the cost of living have no direct and immediate effect on the long-term interest rates. This is in accordance with</w:t>
      </w:r>
      <w:r w:rsidR="003470C3">
        <w:rPr>
          <w:lang w:val="en-GB"/>
        </w:rPr>
        <w:t xml:space="preserve"> the results of </w:t>
      </w:r>
      <w:r w:rsidRPr="00535A4C">
        <w:rPr>
          <w:lang w:val="en-GB"/>
        </w:rPr>
        <w:t xml:space="preserve"> </w:t>
      </w:r>
      <w:r w:rsidRPr="00535A4C">
        <w:rPr>
          <w:lang w:val="en-GB"/>
        </w:rPr>
        <w:fldChar w:fldCharType="begin"/>
      </w:r>
      <w:r w:rsidR="00C57097" w:rsidRPr="00535A4C">
        <w:rPr>
          <w:lang w:val="en-GB"/>
        </w:rPr>
        <w:instrText xml:space="preserve"> ADDIN PAPERS2_CITATIONS &lt;citation&gt;&lt;uuid&gt;C33503AA-F176-49AB-8BA8-1A5F21CB8FCB&lt;/uuid&gt;&lt;priority&gt;55&lt;/priority&gt;&lt;publications&gt;&lt;publication&gt;&lt;publication_date&gt;99201108011200000000222000&lt;/publication_date&gt;&lt;startpage&gt;202&lt;/startpage&gt;&lt;subtitle&gt;Three Treatises on Trade-Cycle Theory&lt;/subtitle&gt;&lt;title&gt;On the Manipulation of Money and Credit&lt;/title&gt;&lt;uuid&gt;A901480F-1DA5-4069-9D25-7B1CA82B3A52&lt;/uuid&gt;&lt;subtype&gt;1&lt;/subtype&gt;&lt;type&gt;0&lt;/type&gt;&lt;url&gt;http://books.google.com/books?id=d2lhPwAACAAJ&amp;amp;dq=On+the+Manipulation+of+Money+and+Credit&amp;amp;hl=&amp;amp;cd=1&amp;amp;source=gbs_api&lt;/url&gt;&lt;authors&gt;&lt;author&gt;&lt;firstName&gt;Ludwig&lt;/firstName&gt;&lt;droppingParticle&gt;von&lt;/droppingParticle&gt;&lt;lastName&gt;Mises&lt;/lastName&gt;&lt;/author&gt;&lt;author&gt;&lt;firstName&gt;Bettina&lt;/firstName&gt;&lt;middleNames&gt;Bien&lt;/middleNames&gt;&lt;lastName&gt;Greaves&lt;/lastName&gt;&lt;/author&gt;&lt;/authors&gt;&lt;editors&gt;&lt;author&gt;&lt;lastName&gt;Greaves&lt;/lastName&gt;&lt;/author&gt;&lt;author&gt;&lt;firstName&gt;Bettina&lt;/firstName&gt;&lt;lastName&gt;Bien&lt;/lastName&gt;&lt;/author&gt;&lt;author&gt;&lt;lastName&gt;Bien&lt;/lastName&gt;&lt;/author&gt;&lt;author&gt;&lt;lastName&gt;Bettina&lt;/lastName&gt;&lt;/author&gt;&lt;/editors&gt;&lt;/publication&gt;&lt;/publications&gt;&lt;cites&gt;&lt;/cites&gt;&lt;/citation&gt;</w:instrText>
      </w:r>
      <w:r w:rsidRPr="00535A4C">
        <w:rPr>
          <w:lang w:val="en-GB"/>
        </w:rPr>
        <w:fldChar w:fldCharType="separate"/>
      </w:r>
      <w:r w:rsidR="00A95881" w:rsidRPr="00535A4C">
        <w:rPr>
          <w:lang w:val="en-GB"/>
        </w:rPr>
        <w:t>Mises and</w:t>
      </w:r>
      <w:r w:rsidRPr="00535A4C">
        <w:rPr>
          <w:lang w:val="en-GB"/>
        </w:rPr>
        <w:t xml:space="preserve"> Greaves </w:t>
      </w:r>
      <w:r w:rsidR="002D44FC">
        <w:rPr>
          <w:lang w:val="en-GB"/>
        </w:rPr>
        <w:t>(</w:t>
      </w:r>
      <w:r w:rsidRPr="00535A4C">
        <w:rPr>
          <w:lang w:val="en-GB"/>
        </w:rPr>
        <w:t>2011)</w:t>
      </w:r>
      <w:r w:rsidRPr="00535A4C">
        <w:rPr>
          <w:lang w:val="en-GB"/>
        </w:rPr>
        <w:fldChar w:fldCharType="end"/>
      </w:r>
      <w:r w:rsidR="00F30FA0">
        <w:rPr>
          <w:lang w:val="en-GB"/>
        </w:rPr>
        <w:t>.</w:t>
      </w:r>
      <w:r w:rsidRPr="00535A4C">
        <w:rPr>
          <w:lang w:val="en-GB"/>
        </w:rPr>
        <w:t xml:space="preserve"> </w:t>
      </w:r>
      <w:r w:rsidR="003470C3">
        <w:rPr>
          <w:lang w:val="en-GB"/>
        </w:rPr>
        <w:t>The e</w:t>
      </w:r>
      <w:r w:rsidRPr="00535A4C">
        <w:rPr>
          <w:lang w:val="en-GB"/>
        </w:rPr>
        <w:t>igenvalues functions for LR and LCPI (not displayed here)</w:t>
      </w:r>
      <w:r w:rsidR="003470C3">
        <w:rPr>
          <w:lang w:val="en-GB"/>
        </w:rPr>
        <w:t xml:space="preserve"> in fact </w:t>
      </w:r>
      <w:r w:rsidRPr="00535A4C">
        <w:rPr>
          <w:lang w:val="en-GB"/>
        </w:rPr>
        <w:t xml:space="preserve">slowly </w:t>
      </w:r>
      <w:r w:rsidR="000224E0" w:rsidRPr="00535A4C">
        <w:rPr>
          <w:lang w:val="en-GB"/>
        </w:rPr>
        <w:t>increa</w:t>
      </w:r>
      <w:r w:rsidRPr="00535A4C">
        <w:rPr>
          <w:lang w:val="en-GB"/>
        </w:rPr>
        <w:t>se from 0</w:t>
      </w:r>
      <w:r w:rsidR="003470C3">
        <w:rPr>
          <w:lang w:val="en-GB"/>
        </w:rPr>
        <w:t>,</w:t>
      </w:r>
      <w:r w:rsidRPr="00535A4C">
        <w:rPr>
          <w:lang w:val="en-GB"/>
        </w:rPr>
        <w:t xml:space="preserve"> reaching</w:t>
      </w:r>
      <w:r w:rsidR="003470C3">
        <w:rPr>
          <w:lang w:val="en-GB"/>
        </w:rPr>
        <w:t xml:space="preserve"> a  maximum after </w:t>
      </w:r>
      <w:r w:rsidRPr="00535A4C">
        <w:rPr>
          <w:lang w:val="en-GB"/>
        </w:rPr>
        <w:t xml:space="preserve">5.5 years and slowly decaying thereafter. </w:t>
      </w:r>
    </w:p>
    <w:p w14:paraId="0B8C9856" w14:textId="77777777" w:rsidR="00F31496" w:rsidRDefault="007F6BCC" w:rsidP="007F6BCC">
      <w:pPr>
        <w:pStyle w:val="BodyText"/>
        <w:jc w:val="both"/>
        <w:rPr>
          <w:lang w:val="en-GB"/>
        </w:rPr>
      </w:pPr>
      <w:r>
        <w:rPr>
          <w:lang w:val="en-GB"/>
        </w:rPr>
        <w:t xml:space="preserve">The </w:t>
      </w:r>
      <w:r w:rsidR="00AB6A88" w:rsidRPr="00535A4C">
        <w:rPr>
          <w:lang w:val="en-GB"/>
        </w:rPr>
        <w:t xml:space="preserve">MSSA </w:t>
      </w:r>
      <w:r>
        <w:rPr>
          <w:lang w:val="en-GB"/>
        </w:rPr>
        <w:t xml:space="preserve">analysis </w:t>
      </w:r>
      <w:r w:rsidR="00AB6A88" w:rsidRPr="00535A4C">
        <w:rPr>
          <w:lang w:val="en-GB"/>
        </w:rPr>
        <w:t xml:space="preserve">once again </w:t>
      </w:r>
      <w:r>
        <w:rPr>
          <w:lang w:val="en-GB"/>
        </w:rPr>
        <w:t xml:space="preserve">supports the existence of </w:t>
      </w:r>
      <w:r w:rsidR="00AB6A88" w:rsidRPr="00535A4C">
        <w:rPr>
          <w:lang w:val="en-GB"/>
        </w:rPr>
        <w:t>Gibson</w:t>
      </w:r>
      <w:r>
        <w:rPr>
          <w:lang w:val="en-GB"/>
        </w:rPr>
        <w:t xml:space="preserve">’s paradox in the </w:t>
      </w:r>
      <w:r w:rsidR="00AB6A88" w:rsidRPr="00535A4C">
        <w:rPr>
          <w:lang w:val="en-GB"/>
        </w:rPr>
        <w:t>Netherlands</w:t>
      </w:r>
      <w:r>
        <w:rPr>
          <w:lang w:val="en-GB"/>
        </w:rPr>
        <w:t xml:space="preserve">, </w:t>
      </w:r>
      <w:r w:rsidR="00AB6A88" w:rsidRPr="00535A4C">
        <w:rPr>
          <w:lang w:val="en-GB"/>
        </w:rPr>
        <w:t>identify</w:t>
      </w:r>
      <w:r>
        <w:rPr>
          <w:lang w:val="en-GB"/>
        </w:rPr>
        <w:t>ing</w:t>
      </w:r>
      <w:r w:rsidR="00AB6A88" w:rsidRPr="00535A4C">
        <w:rPr>
          <w:lang w:val="en-GB"/>
        </w:rPr>
        <w:t xml:space="preserve"> 5-5.5 year oscillations in LR and LCPI</w:t>
      </w:r>
      <w:r>
        <w:rPr>
          <w:lang w:val="en-GB"/>
        </w:rPr>
        <w:t xml:space="preserve">. </w:t>
      </w:r>
      <w:r w:rsidR="00AB6A88" w:rsidRPr="00535A4C">
        <w:rPr>
          <w:lang w:val="en-GB"/>
        </w:rPr>
        <w:t xml:space="preserve">The results </w:t>
      </w:r>
      <w:r>
        <w:rPr>
          <w:lang w:val="en-GB"/>
        </w:rPr>
        <w:t xml:space="preserve">are presented in Table 2, which </w:t>
      </w:r>
      <w:r w:rsidR="00AB6A88" w:rsidRPr="00535A4C">
        <w:rPr>
          <w:lang w:val="en-GB"/>
        </w:rPr>
        <w:t>display</w:t>
      </w:r>
      <w:r>
        <w:rPr>
          <w:lang w:val="en-GB"/>
        </w:rPr>
        <w:t>s the</w:t>
      </w:r>
      <w:r w:rsidR="00AB6A88" w:rsidRPr="00535A4C">
        <w:rPr>
          <w:lang w:val="en-GB"/>
        </w:rPr>
        <w:t xml:space="preserve"> identified principal (spectral) components and </w:t>
      </w:r>
      <w:r>
        <w:rPr>
          <w:lang w:val="en-GB"/>
        </w:rPr>
        <w:t xml:space="preserve">the </w:t>
      </w:r>
      <w:r w:rsidR="00AB6A88" w:rsidRPr="00535A4C">
        <w:rPr>
          <w:lang w:val="en-GB"/>
        </w:rPr>
        <w:t xml:space="preserve">associated total variance explained by </w:t>
      </w:r>
      <w:r w:rsidR="00F30FA0">
        <w:rPr>
          <w:lang w:val="en-GB"/>
        </w:rPr>
        <w:t xml:space="preserve">the </w:t>
      </w:r>
      <w:r w:rsidR="00AB6A88" w:rsidRPr="00535A4C">
        <w:rPr>
          <w:lang w:val="en-GB"/>
        </w:rPr>
        <w:t xml:space="preserve">significant eigenvalues pairs. </w:t>
      </w:r>
    </w:p>
    <w:p w14:paraId="2BBCDA7C" w14:textId="77777777" w:rsidR="00AB6A88" w:rsidRPr="00535A4C" w:rsidRDefault="00AB6A88" w:rsidP="00E8204B">
      <w:pPr>
        <w:pStyle w:val="BodyText"/>
        <w:ind w:firstLine="0"/>
        <w:jc w:val="both"/>
        <w:rPr>
          <w:lang w:val="en-GB"/>
        </w:rPr>
      </w:pPr>
      <w:r w:rsidRPr="00535A4C">
        <w:rPr>
          <w:lang w:val="en-GB"/>
        </w:rPr>
        <w:t>Table 2</w:t>
      </w:r>
    </w:p>
    <w:p w14:paraId="07168637" w14:textId="77777777" w:rsidR="00AB6A88" w:rsidRPr="00535A4C" w:rsidRDefault="00AB6A88" w:rsidP="00E8204B">
      <w:pPr>
        <w:pStyle w:val="BodyText"/>
        <w:ind w:firstLine="0"/>
        <w:jc w:val="both"/>
        <w:rPr>
          <w:sz w:val="22"/>
          <w:szCs w:val="22"/>
          <w:lang w:val="en-GB"/>
        </w:rPr>
      </w:pPr>
      <w:r w:rsidRPr="00535A4C">
        <w:rPr>
          <w:i/>
          <w:sz w:val="22"/>
          <w:szCs w:val="22"/>
          <w:lang w:val="en-GB"/>
        </w:rPr>
        <w:t>Multivariate SSA: variable-based results (m=50)</w:t>
      </w:r>
    </w:p>
    <w:tbl>
      <w:tblPr>
        <w:tblW w:w="0" w:type="auto"/>
        <w:tblBorders>
          <w:top w:val="single" w:sz="12" w:space="0" w:color="000000"/>
          <w:bottom w:val="single" w:sz="12" w:space="0" w:color="000000"/>
        </w:tblBorders>
        <w:tblLook w:val="00A0" w:firstRow="1" w:lastRow="0" w:firstColumn="1" w:lastColumn="0" w:noHBand="0" w:noVBand="0"/>
      </w:tblPr>
      <w:tblGrid>
        <w:gridCol w:w="1414"/>
        <w:gridCol w:w="1229"/>
        <w:gridCol w:w="830"/>
        <w:gridCol w:w="1549"/>
        <w:gridCol w:w="2675"/>
      </w:tblGrid>
      <w:tr w:rsidR="00AB6A88" w:rsidRPr="00535A4C" w14:paraId="05C0EB2A" w14:textId="77777777" w:rsidTr="00FA35AC">
        <w:tc>
          <w:tcPr>
            <w:tcW w:w="0" w:type="auto"/>
            <w:tcBorders>
              <w:top w:val="single" w:sz="12" w:space="0" w:color="000000"/>
              <w:left w:val="nil"/>
              <w:bottom w:val="single" w:sz="6" w:space="0" w:color="000000"/>
              <w:right w:val="single" w:sz="4" w:space="0" w:color="FFFFFF"/>
            </w:tcBorders>
          </w:tcPr>
          <w:p w14:paraId="0627A42E" w14:textId="77777777" w:rsidR="00AB6A88" w:rsidRPr="00535A4C" w:rsidRDefault="00AB6A88" w:rsidP="00A95881">
            <w:pPr>
              <w:pStyle w:val="TitleColumnHeading"/>
            </w:pPr>
            <w:r w:rsidRPr="00535A4C">
              <w:t>Series</w:t>
            </w:r>
          </w:p>
        </w:tc>
        <w:tc>
          <w:tcPr>
            <w:tcW w:w="0" w:type="auto"/>
            <w:tcBorders>
              <w:top w:val="single" w:sz="12" w:space="0" w:color="000000"/>
              <w:left w:val="single" w:sz="4" w:space="0" w:color="FFFFFF"/>
              <w:bottom w:val="single" w:sz="6" w:space="0" w:color="000000"/>
              <w:right w:val="nil"/>
            </w:tcBorders>
          </w:tcPr>
          <w:p w14:paraId="39D23507" w14:textId="77777777" w:rsidR="00AB6A88" w:rsidRPr="00535A4C" w:rsidRDefault="00AB6A88" w:rsidP="00A95881">
            <w:pPr>
              <w:pStyle w:val="TitleColumnHeading"/>
            </w:pPr>
            <w:r w:rsidRPr="00535A4C">
              <w:t>Frequency</w:t>
            </w:r>
          </w:p>
        </w:tc>
        <w:tc>
          <w:tcPr>
            <w:tcW w:w="0" w:type="auto"/>
            <w:tcBorders>
              <w:top w:val="single" w:sz="12" w:space="0" w:color="000000"/>
              <w:left w:val="nil"/>
              <w:bottom w:val="single" w:sz="6" w:space="0" w:color="000000"/>
              <w:right w:val="nil"/>
            </w:tcBorders>
          </w:tcPr>
          <w:p w14:paraId="50492FD9" w14:textId="77777777" w:rsidR="00AB6A88" w:rsidRPr="00535A4C" w:rsidRDefault="00AB6A88" w:rsidP="00A95881">
            <w:pPr>
              <w:pStyle w:val="TitleColumnHeading"/>
            </w:pPr>
            <w:r w:rsidRPr="00535A4C">
              <w:t>Power</w:t>
            </w:r>
          </w:p>
        </w:tc>
        <w:tc>
          <w:tcPr>
            <w:tcW w:w="0" w:type="auto"/>
            <w:tcBorders>
              <w:top w:val="single" w:sz="12" w:space="0" w:color="000000"/>
              <w:left w:val="nil"/>
              <w:bottom w:val="single" w:sz="6" w:space="0" w:color="000000"/>
              <w:right w:val="nil"/>
            </w:tcBorders>
          </w:tcPr>
          <w:p w14:paraId="22BD7DA9" w14:textId="77777777" w:rsidR="00AB6A88" w:rsidRPr="00535A4C" w:rsidRDefault="00AB6A88" w:rsidP="00A95881">
            <w:pPr>
              <w:pStyle w:val="TitleColumnHeading"/>
            </w:pPr>
            <w:r w:rsidRPr="00535A4C">
              <w:t xml:space="preserve">% of variance </w:t>
            </w:r>
          </w:p>
          <w:p w14:paraId="5A8A9076" w14:textId="77777777" w:rsidR="00AB6A88" w:rsidRPr="00535A4C" w:rsidRDefault="00AB6A88" w:rsidP="00A95881">
            <w:pPr>
              <w:pStyle w:val="TitleColumnHeading"/>
            </w:pPr>
            <w:r w:rsidRPr="00535A4C">
              <w:t>Explained</w:t>
            </w:r>
          </w:p>
        </w:tc>
        <w:tc>
          <w:tcPr>
            <w:tcW w:w="0" w:type="auto"/>
            <w:tcBorders>
              <w:top w:val="single" w:sz="12" w:space="0" w:color="000000"/>
              <w:left w:val="nil"/>
              <w:bottom w:val="single" w:sz="6" w:space="0" w:color="000000"/>
              <w:right w:val="nil"/>
            </w:tcBorders>
          </w:tcPr>
          <w:p w14:paraId="10D4F76E" w14:textId="77777777" w:rsidR="00AB6A88" w:rsidRPr="00535A4C" w:rsidRDefault="00AB6A88" w:rsidP="00A95881">
            <w:pPr>
              <w:pStyle w:val="TitleColumnHeading"/>
            </w:pPr>
            <w:r w:rsidRPr="00535A4C">
              <w:t xml:space="preserve">% of cumulative variance </w:t>
            </w:r>
          </w:p>
          <w:p w14:paraId="5524F467" w14:textId="77777777" w:rsidR="00AB6A88" w:rsidRPr="00535A4C" w:rsidRDefault="007F6BCC" w:rsidP="00A95881">
            <w:pPr>
              <w:pStyle w:val="TitleColumnHeading"/>
            </w:pPr>
            <w:r w:rsidRPr="00535A4C">
              <w:t>E</w:t>
            </w:r>
            <w:r w:rsidR="00AB6A88" w:rsidRPr="00535A4C">
              <w:t>xplained</w:t>
            </w:r>
          </w:p>
        </w:tc>
      </w:tr>
      <w:tr w:rsidR="00AB6A88" w:rsidRPr="00535A4C" w14:paraId="6177AF3C" w14:textId="77777777" w:rsidTr="00FA35AC">
        <w:tc>
          <w:tcPr>
            <w:tcW w:w="0" w:type="auto"/>
            <w:tcBorders>
              <w:top w:val="nil"/>
              <w:left w:val="nil"/>
              <w:bottom w:val="nil"/>
              <w:right w:val="single" w:sz="4" w:space="0" w:color="FFFFFF"/>
            </w:tcBorders>
          </w:tcPr>
          <w:p w14:paraId="550A5245" w14:textId="77777777" w:rsidR="00AB6A88" w:rsidRPr="00535A4C" w:rsidRDefault="00AB6A88" w:rsidP="00E8204B">
            <w:pPr>
              <w:pStyle w:val="BodyText"/>
              <w:ind w:firstLine="0"/>
              <w:jc w:val="both"/>
              <w:rPr>
                <w:lang w:val="en-GB" w:eastAsia="en-US"/>
              </w:rPr>
            </w:pPr>
            <w:r w:rsidRPr="00535A4C">
              <w:rPr>
                <w:sz w:val="22"/>
                <w:szCs w:val="22"/>
                <w:lang w:val="en-GB" w:eastAsia="en-US"/>
              </w:rPr>
              <w:t>LR*</w:t>
            </w:r>
          </w:p>
        </w:tc>
        <w:tc>
          <w:tcPr>
            <w:tcW w:w="0" w:type="auto"/>
            <w:tcBorders>
              <w:top w:val="nil"/>
              <w:left w:val="single" w:sz="4" w:space="0" w:color="FFFFFF"/>
              <w:bottom w:val="nil"/>
              <w:right w:val="nil"/>
            </w:tcBorders>
          </w:tcPr>
          <w:p w14:paraId="0802FAC2" w14:textId="77777777" w:rsidR="00AB6A88" w:rsidRPr="00535A4C" w:rsidRDefault="00AB6A88" w:rsidP="00A95881">
            <w:pPr>
              <w:pStyle w:val="BodyText"/>
              <w:ind w:firstLine="0"/>
              <w:jc w:val="center"/>
              <w:rPr>
                <w:lang w:val="en-GB" w:eastAsia="en-US"/>
              </w:rPr>
            </w:pPr>
            <w:r w:rsidRPr="00535A4C">
              <w:rPr>
                <w:sz w:val="22"/>
                <w:szCs w:val="22"/>
                <w:lang w:val="en-GB" w:eastAsia="en-US"/>
              </w:rPr>
              <w:t>0.003</w:t>
            </w:r>
          </w:p>
        </w:tc>
        <w:tc>
          <w:tcPr>
            <w:tcW w:w="0" w:type="auto"/>
            <w:tcBorders>
              <w:top w:val="nil"/>
              <w:left w:val="nil"/>
              <w:bottom w:val="nil"/>
              <w:right w:val="nil"/>
            </w:tcBorders>
          </w:tcPr>
          <w:p w14:paraId="755AA835" w14:textId="77777777" w:rsidR="00AB6A88" w:rsidRPr="00535A4C" w:rsidRDefault="00AB6A88" w:rsidP="00A95881">
            <w:pPr>
              <w:pStyle w:val="BodyText"/>
              <w:ind w:firstLine="0"/>
              <w:jc w:val="center"/>
              <w:rPr>
                <w:lang w:val="en-GB" w:eastAsia="en-US"/>
              </w:rPr>
            </w:pPr>
            <w:r w:rsidRPr="00535A4C">
              <w:rPr>
                <w:sz w:val="22"/>
                <w:szCs w:val="22"/>
                <w:lang w:val="en-GB" w:eastAsia="en-US"/>
              </w:rPr>
              <w:t>61.33</w:t>
            </w:r>
          </w:p>
        </w:tc>
        <w:tc>
          <w:tcPr>
            <w:tcW w:w="0" w:type="auto"/>
            <w:tcBorders>
              <w:top w:val="nil"/>
              <w:left w:val="nil"/>
              <w:bottom w:val="nil"/>
              <w:right w:val="nil"/>
            </w:tcBorders>
          </w:tcPr>
          <w:p w14:paraId="31F40140" w14:textId="77777777" w:rsidR="00AB6A88" w:rsidRPr="00535A4C" w:rsidRDefault="00AB6A88" w:rsidP="00A95881">
            <w:pPr>
              <w:pStyle w:val="BodyText"/>
              <w:ind w:firstLine="0"/>
              <w:jc w:val="center"/>
              <w:rPr>
                <w:lang w:val="en-GB" w:eastAsia="en-US"/>
              </w:rPr>
            </w:pPr>
            <w:r w:rsidRPr="00535A4C">
              <w:rPr>
                <w:sz w:val="22"/>
                <w:szCs w:val="22"/>
                <w:lang w:val="en-GB" w:eastAsia="en-US"/>
              </w:rPr>
              <w:t>9.18</w:t>
            </w:r>
          </w:p>
        </w:tc>
        <w:tc>
          <w:tcPr>
            <w:tcW w:w="0" w:type="auto"/>
            <w:tcBorders>
              <w:top w:val="nil"/>
              <w:left w:val="nil"/>
              <w:bottom w:val="nil"/>
              <w:right w:val="nil"/>
            </w:tcBorders>
          </w:tcPr>
          <w:p w14:paraId="78E0C1CC" w14:textId="77777777" w:rsidR="00AB6A88" w:rsidRPr="00535A4C" w:rsidRDefault="00AB6A88" w:rsidP="00A95881">
            <w:pPr>
              <w:pStyle w:val="BodyText"/>
              <w:ind w:firstLine="0"/>
              <w:jc w:val="center"/>
              <w:rPr>
                <w:lang w:val="en-GB" w:eastAsia="en-US"/>
              </w:rPr>
            </w:pPr>
            <w:r w:rsidRPr="00535A4C">
              <w:rPr>
                <w:sz w:val="22"/>
                <w:szCs w:val="22"/>
                <w:lang w:val="en-GB" w:eastAsia="en-US"/>
              </w:rPr>
              <w:t>9.18</w:t>
            </w:r>
          </w:p>
        </w:tc>
      </w:tr>
      <w:tr w:rsidR="00AB6A88" w:rsidRPr="00535A4C" w14:paraId="593BECCA" w14:textId="77777777" w:rsidTr="00FA35AC">
        <w:tc>
          <w:tcPr>
            <w:tcW w:w="0" w:type="auto"/>
            <w:tcBorders>
              <w:top w:val="nil"/>
              <w:left w:val="nil"/>
              <w:bottom w:val="nil"/>
              <w:right w:val="single" w:sz="4" w:space="0" w:color="FFFFFF"/>
            </w:tcBorders>
          </w:tcPr>
          <w:p w14:paraId="478A8203" w14:textId="77777777" w:rsidR="00AB6A88" w:rsidRPr="00535A4C" w:rsidRDefault="00AB6A88" w:rsidP="00E8204B">
            <w:pPr>
              <w:pStyle w:val="BodyText"/>
              <w:ind w:firstLine="0"/>
              <w:jc w:val="both"/>
              <w:rPr>
                <w:lang w:val="en-GB" w:eastAsia="en-US"/>
              </w:rPr>
            </w:pPr>
            <w:r w:rsidRPr="00535A4C">
              <w:rPr>
                <w:sz w:val="22"/>
                <w:szCs w:val="22"/>
                <w:lang w:val="en-GB" w:eastAsia="en-US"/>
              </w:rPr>
              <w:t>LCPI</w:t>
            </w:r>
          </w:p>
        </w:tc>
        <w:tc>
          <w:tcPr>
            <w:tcW w:w="0" w:type="auto"/>
            <w:tcBorders>
              <w:top w:val="nil"/>
              <w:left w:val="single" w:sz="4" w:space="0" w:color="FFFFFF"/>
              <w:bottom w:val="nil"/>
              <w:right w:val="nil"/>
            </w:tcBorders>
          </w:tcPr>
          <w:p w14:paraId="27AA988A" w14:textId="77777777" w:rsidR="00AB6A88" w:rsidRPr="00535A4C" w:rsidRDefault="00AB6A88" w:rsidP="00A95881">
            <w:pPr>
              <w:pStyle w:val="BodyText"/>
              <w:ind w:firstLine="0"/>
              <w:jc w:val="center"/>
              <w:rPr>
                <w:lang w:val="en-GB" w:eastAsia="en-US"/>
              </w:rPr>
            </w:pPr>
            <w:r w:rsidRPr="00535A4C">
              <w:rPr>
                <w:sz w:val="22"/>
                <w:szCs w:val="22"/>
                <w:lang w:val="en-GB" w:eastAsia="en-US"/>
              </w:rPr>
              <w:t>0.018</w:t>
            </w:r>
          </w:p>
        </w:tc>
        <w:tc>
          <w:tcPr>
            <w:tcW w:w="0" w:type="auto"/>
            <w:tcBorders>
              <w:top w:val="nil"/>
              <w:left w:val="nil"/>
              <w:bottom w:val="nil"/>
              <w:right w:val="nil"/>
            </w:tcBorders>
          </w:tcPr>
          <w:p w14:paraId="56AAABBD" w14:textId="77777777" w:rsidR="00AB6A88" w:rsidRPr="00535A4C" w:rsidRDefault="00AB6A88" w:rsidP="00A95881">
            <w:pPr>
              <w:pStyle w:val="BodyText"/>
              <w:ind w:firstLine="0"/>
              <w:jc w:val="center"/>
              <w:rPr>
                <w:lang w:val="en-GB" w:eastAsia="en-US"/>
              </w:rPr>
            </w:pPr>
            <w:r w:rsidRPr="00535A4C">
              <w:rPr>
                <w:sz w:val="22"/>
                <w:szCs w:val="22"/>
                <w:lang w:val="en-GB" w:eastAsia="en-US"/>
              </w:rPr>
              <w:t>16.51</w:t>
            </w:r>
          </w:p>
        </w:tc>
        <w:tc>
          <w:tcPr>
            <w:tcW w:w="0" w:type="auto"/>
            <w:tcBorders>
              <w:top w:val="nil"/>
              <w:left w:val="nil"/>
              <w:bottom w:val="nil"/>
              <w:right w:val="nil"/>
            </w:tcBorders>
          </w:tcPr>
          <w:p w14:paraId="6C8B680B" w14:textId="77777777" w:rsidR="00AB6A88" w:rsidRPr="00535A4C" w:rsidRDefault="00AB6A88" w:rsidP="00A95881">
            <w:pPr>
              <w:pStyle w:val="BodyText"/>
              <w:ind w:firstLine="0"/>
              <w:jc w:val="center"/>
              <w:rPr>
                <w:lang w:val="en-GB" w:eastAsia="en-US"/>
              </w:rPr>
            </w:pPr>
            <w:r w:rsidRPr="00535A4C">
              <w:rPr>
                <w:sz w:val="22"/>
                <w:szCs w:val="22"/>
                <w:lang w:val="en-GB" w:eastAsia="en-US"/>
              </w:rPr>
              <w:t>2.47</w:t>
            </w:r>
          </w:p>
        </w:tc>
        <w:tc>
          <w:tcPr>
            <w:tcW w:w="0" w:type="auto"/>
            <w:tcBorders>
              <w:top w:val="nil"/>
              <w:left w:val="nil"/>
              <w:bottom w:val="nil"/>
              <w:right w:val="nil"/>
            </w:tcBorders>
          </w:tcPr>
          <w:p w14:paraId="3B236DE6" w14:textId="77777777" w:rsidR="00AB6A88" w:rsidRPr="00535A4C" w:rsidRDefault="00AB6A88" w:rsidP="00A95881">
            <w:pPr>
              <w:pStyle w:val="BodyText"/>
              <w:ind w:firstLine="0"/>
              <w:jc w:val="center"/>
              <w:rPr>
                <w:lang w:val="en-GB" w:eastAsia="en-US"/>
              </w:rPr>
            </w:pPr>
            <w:r w:rsidRPr="00535A4C">
              <w:rPr>
                <w:sz w:val="22"/>
                <w:szCs w:val="22"/>
                <w:lang w:val="en-GB" w:eastAsia="en-US"/>
              </w:rPr>
              <w:t>11.65</w:t>
            </w:r>
          </w:p>
        </w:tc>
      </w:tr>
      <w:tr w:rsidR="00AB6A88" w:rsidRPr="00535A4C" w14:paraId="397C5141" w14:textId="77777777" w:rsidTr="00FA35AC">
        <w:tc>
          <w:tcPr>
            <w:tcW w:w="0" w:type="auto"/>
            <w:tcBorders>
              <w:top w:val="nil"/>
              <w:left w:val="nil"/>
              <w:bottom w:val="nil"/>
              <w:right w:val="single" w:sz="4" w:space="0" w:color="FFFFFF"/>
            </w:tcBorders>
          </w:tcPr>
          <w:p w14:paraId="6AF7F239" w14:textId="77777777" w:rsidR="00AB6A88" w:rsidRPr="00535A4C" w:rsidRDefault="00AB6A88" w:rsidP="00E8204B">
            <w:pPr>
              <w:pStyle w:val="BodyText"/>
              <w:ind w:firstLine="0"/>
              <w:jc w:val="both"/>
              <w:rPr>
                <w:lang w:val="en-GB" w:eastAsia="en-US"/>
              </w:rPr>
            </w:pPr>
            <w:r w:rsidRPr="00535A4C">
              <w:rPr>
                <w:sz w:val="22"/>
                <w:szCs w:val="22"/>
                <w:lang w:val="en-GB" w:eastAsia="en-US"/>
              </w:rPr>
              <w:t>DEBT</w:t>
            </w:r>
          </w:p>
        </w:tc>
        <w:tc>
          <w:tcPr>
            <w:tcW w:w="0" w:type="auto"/>
            <w:tcBorders>
              <w:top w:val="nil"/>
              <w:left w:val="single" w:sz="4" w:space="0" w:color="FFFFFF"/>
              <w:bottom w:val="nil"/>
              <w:right w:val="nil"/>
            </w:tcBorders>
          </w:tcPr>
          <w:p w14:paraId="451463AD" w14:textId="77777777" w:rsidR="00AB6A88" w:rsidRPr="00535A4C" w:rsidRDefault="00AB6A88" w:rsidP="00A95881">
            <w:pPr>
              <w:pStyle w:val="BodyText"/>
              <w:ind w:firstLine="0"/>
              <w:jc w:val="center"/>
              <w:rPr>
                <w:lang w:val="en-GB" w:eastAsia="en-US"/>
              </w:rPr>
            </w:pPr>
            <w:r w:rsidRPr="00535A4C">
              <w:rPr>
                <w:sz w:val="22"/>
                <w:szCs w:val="22"/>
                <w:lang w:val="en-GB" w:eastAsia="en-US"/>
              </w:rPr>
              <w:t>0.035</w:t>
            </w:r>
          </w:p>
        </w:tc>
        <w:tc>
          <w:tcPr>
            <w:tcW w:w="0" w:type="auto"/>
            <w:tcBorders>
              <w:top w:val="nil"/>
              <w:left w:val="nil"/>
              <w:bottom w:val="nil"/>
              <w:right w:val="nil"/>
            </w:tcBorders>
          </w:tcPr>
          <w:p w14:paraId="3A40BE23" w14:textId="77777777" w:rsidR="00AB6A88" w:rsidRPr="00535A4C" w:rsidRDefault="00AB6A88" w:rsidP="00A95881">
            <w:pPr>
              <w:pStyle w:val="BodyText"/>
              <w:ind w:firstLine="0"/>
              <w:jc w:val="center"/>
              <w:rPr>
                <w:lang w:val="en-GB" w:eastAsia="en-US"/>
              </w:rPr>
            </w:pPr>
            <w:r w:rsidRPr="00535A4C">
              <w:rPr>
                <w:sz w:val="22"/>
                <w:szCs w:val="22"/>
                <w:lang w:val="en-GB" w:eastAsia="en-US"/>
              </w:rPr>
              <w:t>13.63</w:t>
            </w:r>
          </w:p>
        </w:tc>
        <w:tc>
          <w:tcPr>
            <w:tcW w:w="0" w:type="auto"/>
            <w:tcBorders>
              <w:top w:val="nil"/>
              <w:left w:val="nil"/>
              <w:bottom w:val="nil"/>
              <w:right w:val="nil"/>
            </w:tcBorders>
          </w:tcPr>
          <w:p w14:paraId="60CB19D5" w14:textId="77777777" w:rsidR="00AB6A88" w:rsidRPr="00535A4C" w:rsidRDefault="00AB6A88" w:rsidP="00A95881">
            <w:pPr>
              <w:pStyle w:val="BodyText"/>
              <w:ind w:firstLine="0"/>
              <w:jc w:val="center"/>
              <w:rPr>
                <w:lang w:val="en-GB" w:eastAsia="en-US"/>
              </w:rPr>
            </w:pPr>
            <w:r w:rsidRPr="00535A4C">
              <w:rPr>
                <w:sz w:val="22"/>
                <w:szCs w:val="22"/>
                <w:lang w:val="en-GB" w:eastAsia="en-US"/>
              </w:rPr>
              <w:t>2.04</w:t>
            </w:r>
          </w:p>
        </w:tc>
        <w:tc>
          <w:tcPr>
            <w:tcW w:w="0" w:type="auto"/>
            <w:tcBorders>
              <w:top w:val="nil"/>
              <w:left w:val="nil"/>
              <w:bottom w:val="nil"/>
              <w:right w:val="nil"/>
            </w:tcBorders>
          </w:tcPr>
          <w:p w14:paraId="6AAAE767" w14:textId="77777777" w:rsidR="00AB6A88" w:rsidRPr="00535A4C" w:rsidRDefault="00AB6A88" w:rsidP="00A95881">
            <w:pPr>
              <w:pStyle w:val="BodyText"/>
              <w:ind w:firstLine="0"/>
              <w:jc w:val="center"/>
              <w:rPr>
                <w:lang w:val="en-GB" w:eastAsia="en-US"/>
              </w:rPr>
            </w:pPr>
            <w:r w:rsidRPr="00535A4C">
              <w:rPr>
                <w:sz w:val="22"/>
                <w:szCs w:val="22"/>
                <w:lang w:val="en-GB" w:eastAsia="en-US"/>
              </w:rPr>
              <w:t>13.69</w:t>
            </w:r>
          </w:p>
        </w:tc>
      </w:tr>
      <w:tr w:rsidR="00AB6A88" w:rsidRPr="00535A4C" w14:paraId="02123E78" w14:textId="77777777" w:rsidTr="00FA35AC">
        <w:tc>
          <w:tcPr>
            <w:tcW w:w="0" w:type="auto"/>
            <w:tcBorders>
              <w:top w:val="nil"/>
              <w:left w:val="nil"/>
              <w:bottom w:val="nil"/>
              <w:right w:val="single" w:sz="4" w:space="0" w:color="FFFFFF"/>
            </w:tcBorders>
          </w:tcPr>
          <w:p w14:paraId="71460799" w14:textId="77777777" w:rsidR="00AB6A88" w:rsidRPr="00535A4C" w:rsidRDefault="00AB6A88" w:rsidP="00E8204B">
            <w:pPr>
              <w:pStyle w:val="BodyText"/>
              <w:ind w:firstLine="0"/>
              <w:jc w:val="both"/>
              <w:rPr>
                <w:lang w:val="en-GB" w:eastAsia="en-US"/>
              </w:rPr>
            </w:pPr>
            <w:r w:rsidRPr="00535A4C">
              <w:rPr>
                <w:sz w:val="22"/>
                <w:szCs w:val="22"/>
                <w:lang w:val="en-GB" w:eastAsia="en-US"/>
              </w:rPr>
              <w:t>VOL</w:t>
            </w:r>
          </w:p>
        </w:tc>
        <w:tc>
          <w:tcPr>
            <w:tcW w:w="0" w:type="auto"/>
            <w:tcBorders>
              <w:top w:val="nil"/>
              <w:left w:val="single" w:sz="4" w:space="0" w:color="FFFFFF"/>
              <w:bottom w:val="nil"/>
              <w:right w:val="nil"/>
            </w:tcBorders>
          </w:tcPr>
          <w:p w14:paraId="269E6262" w14:textId="77777777" w:rsidR="00AB6A88" w:rsidRPr="00535A4C" w:rsidRDefault="00AB6A88" w:rsidP="00A95881">
            <w:pPr>
              <w:pStyle w:val="BodyText"/>
              <w:ind w:firstLine="0"/>
              <w:jc w:val="center"/>
              <w:rPr>
                <w:lang w:val="en-GB" w:eastAsia="en-US"/>
              </w:rPr>
            </w:pPr>
            <w:r w:rsidRPr="00535A4C">
              <w:rPr>
                <w:sz w:val="22"/>
                <w:szCs w:val="22"/>
                <w:lang w:val="en-GB" w:eastAsia="en-US"/>
              </w:rPr>
              <w:t>0.082</w:t>
            </w:r>
          </w:p>
        </w:tc>
        <w:tc>
          <w:tcPr>
            <w:tcW w:w="0" w:type="auto"/>
            <w:tcBorders>
              <w:top w:val="nil"/>
              <w:left w:val="nil"/>
              <w:bottom w:val="nil"/>
              <w:right w:val="nil"/>
            </w:tcBorders>
          </w:tcPr>
          <w:p w14:paraId="25310F5D" w14:textId="77777777" w:rsidR="00AB6A88" w:rsidRPr="00535A4C" w:rsidRDefault="00AB6A88" w:rsidP="00A95881">
            <w:pPr>
              <w:pStyle w:val="BodyText"/>
              <w:ind w:firstLine="0"/>
              <w:jc w:val="center"/>
              <w:rPr>
                <w:lang w:val="en-GB" w:eastAsia="en-US"/>
              </w:rPr>
            </w:pPr>
            <w:r w:rsidRPr="00535A4C">
              <w:rPr>
                <w:sz w:val="22"/>
                <w:szCs w:val="22"/>
                <w:lang w:val="en-GB" w:eastAsia="en-US"/>
              </w:rPr>
              <w:t>13.52</w:t>
            </w:r>
          </w:p>
        </w:tc>
        <w:tc>
          <w:tcPr>
            <w:tcW w:w="0" w:type="auto"/>
            <w:tcBorders>
              <w:top w:val="nil"/>
              <w:left w:val="nil"/>
              <w:bottom w:val="nil"/>
              <w:right w:val="nil"/>
            </w:tcBorders>
          </w:tcPr>
          <w:p w14:paraId="66271A61" w14:textId="77777777" w:rsidR="00AB6A88" w:rsidRPr="00535A4C" w:rsidRDefault="00AB6A88" w:rsidP="00A95881">
            <w:pPr>
              <w:pStyle w:val="BodyText"/>
              <w:ind w:firstLine="0"/>
              <w:jc w:val="center"/>
              <w:rPr>
                <w:lang w:val="en-GB" w:eastAsia="en-US"/>
              </w:rPr>
            </w:pPr>
            <w:r w:rsidRPr="00535A4C">
              <w:rPr>
                <w:sz w:val="22"/>
                <w:szCs w:val="22"/>
                <w:lang w:val="en-GB" w:eastAsia="en-US"/>
              </w:rPr>
              <w:t>2.02</w:t>
            </w:r>
          </w:p>
        </w:tc>
        <w:tc>
          <w:tcPr>
            <w:tcW w:w="0" w:type="auto"/>
            <w:tcBorders>
              <w:top w:val="nil"/>
              <w:left w:val="nil"/>
              <w:bottom w:val="nil"/>
              <w:right w:val="nil"/>
            </w:tcBorders>
          </w:tcPr>
          <w:p w14:paraId="052BF2E7" w14:textId="77777777" w:rsidR="00AB6A88" w:rsidRPr="00535A4C" w:rsidRDefault="00AB6A88" w:rsidP="00A95881">
            <w:pPr>
              <w:pStyle w:val="BodyText"/>
              <w:ind w:firstLine="0"/>
              <w:jc w:val="center"/>
              <w:rPr>
                <w:lang w:val="en-GB" w:eastAsia="en-US"/>
              </w:rPr>
            </w:pPr>
            <w:r w:rsidRPr="00535A4C">
              <w:rPr>
                <w:sz w:val="22"/>
                <w:szCs w:val="22"/>
                <w:lang w:val="en-GB" w:eastAsia="en-US"/>
              </w:rPr>
              <w:t>15.71</w:t>
            </w:r>
          </w:p>
        </w:tc>
      </w:tr>
      <w:tr w:rsidR="00AB6A88" w:rsidRPr="00535A4C" w14:paraId="322CD9B1" w14:textId="77777777" w:rsidTr="00FA35AC">
        <w:tc>
          <w:tcPr>
            <w:tcW w:w="0" w:type="auto"/>
            <w:tcBorders>
              <w:top w:val="nil"/>
              <w:left w:val="nil"/>
              <w:bottom w:val="nil"/>
              <w:right w:val="single" w:sz="4" w:space="0" w:color="FFFFFF"/>
            </w:tcBorders>
          </w:tcPr>
          <w:p w14:paraId="10F33E10" w14:textId="77777777" w:rsidR="00AB6A88" w:rsidRPr="00535A4C" w:rsidRDefault="00AB6A88" w:rsidP="00E8204B">
            <w:pPr>
              <w:pStyle w:val="BodyText"/>
              <w:ind w:firstLine="0"/>
              <w:jc w:val="both"/>
              <w:rPr>
                <w:lang w:val="en-GB" w:eastAsia="en-US"/>
              </w:rPr>
            </w:pPr>
            <w:r w:rsidRPr="00535A4C">
              <w:rPr>
                <w:sz w:val="22"/>
                <w:szCs w:val="22"/>
                <w:lang w:val="en-GB" w:eastAsia="en-US"/>
              </w:rPr>
              <w:t>EXPSTIR*</w:t>
            </w:r>
          </w:p>
        </w:tc>
        <w:tc>
          <w:tcPr>
            <w:tcW w:w="0" w:type="auto"/>
            <w:tcBorders>
              <w:top w:val="nil"/>
              <w:left w:val="single" w:sz="4" w:space="0" w:color="FFFFFF"/>
              <w:bottom w:val="nil"/>
              <w:right w:val="nil"/>
            </w:tcBorders>
          </w:tcPr>
          <w:p w14:paraId="5EA0B5B1" w14:textId="77777777" w:rsidR="00AB6A88" w:rsidRPr="00535A4C" w:rsidRDefault="00AB6A88" w:rsidP="00A95881">
            <w:pPr>
              <w:pStyle w:val="BodyText"/>
              <w:ind w:firstLine="0"/>
              <w:jc w:val="center"/>
              <w:rPr>
                <w:lang w:val="en-GB" w:eastAsia="en-US"/>
              </w:rPr>
            </w:pPr>
            <w:r w:rsidRPr="00535A4C">
              <w:rPr>
                <w:sz w:val="22"/>
                <w:szCs w:val="22"/>
                <w:lang w:val="en-GB" w:eastAsia="en-US"/>
              </w:rPr>
              <w:t>0.111</w:t>
            </w:r>
          </w:p>
        </w:tc>
        <w:tc>
          <w:tcPr>
            <w:tcW w:w="0" w:type="auto"/>
            <w:tcBorders>
              <w:top w:val="nil"/>
              <w:left w:val="nil"/>
              <w:bottom w:val="nil"/>
              <w:right w:val="nil"/>
            </w:tcBorders>
          </w:tcPr>
          <w:p w14:paraId="56673BE3" w14:textId="77777777" w:rsidR="00AB6A88" w:rsidRPr="00535A4C" w:rsidRDefault="00AB6A88" w:rsidP="00A95881">
            <w:pPr>
              <w:pStyle w:val="BodyText"/>
              <w:ind w:firstLine="0"/>
              <w:jc w:val="center"/>
              <w:rPr>
                <w:lang w:val="en-GB" w:eastAsia="en-US"/>
              </w:rPr>
            </w:pPr>
            <w:r w:rsidRPr="00535A4C">
              <w:rPr>
                <w:sz w:val="22"/>
                <w:szCs w:val="22"/>
                <w:lang w:val="en-GB" w:eastAsia="en-US"/>
              </w:rPr>
              <w:t>13.46</w:t>
            </w:r>
          </w:p>
        </w:tc>
        <w:tc>
          <w:tcPr>
            <w:tcW w:w="0" w:type="auto"/>
            <w:tcBorders>
              <w:top w:val="nil"/>
              <w:left w:val="nil"/>
              <w:bottom w:val="nil"/>
              <w:right w:val="nil"/>
            </w:tcBorders>
          </w:tcPr>
          <w:p w14:paraId="51716594" w14:textId="77777777" w:rsidR="00AB6A88" w:rsidRPr="00535A4C" w:rsidRDefault="00AB6A88" w:rsidP="00A95881">
            <w:pPr>
              <w:pStyle w:val="BodyText"/>
              <w:ind w:firstLine="0"/>
              <w:jc w:val="center"/>
              <w:rPr>
                <w:lang w:val="en-GB" w:eastAsia="en-US"/>
              </w:rPr>
            </w:pPr>
            <w:r w:rsidRPr="00535A4C">
              <w:rPr>
                <w:sz w:val="22"/>
                <w:szCs w:val="22"/>
                <w:lang w:val="en-GB" w:eastAsia="en-US"/>
              </w:rPr>
              <w:t>2.01</w:t>
            </w:r>
          </w:p>
        </w:tc>
        <w:tc>
          <w:tcPr>
            <w:tcW w:w="0" w:type="auto"/>
            <w:tcBorders>
              <w:top w:val="nil"/>
              <w:left w:val="nil"/>
              <w:bottom w:val="nil"/>
              <w:right w:val="nil"/>
            </w:tcBorders>
          </w:tcPr>
          <w:p w14:paraId="0652D11C" w14:textId="77777777" w:rsidR="00AB6A88" w:rsidRPr="00535A4C" w:rsidRDefault="00AB6A88" w:rsidP="00A95881">
            <w:pPr>
              <w:pStyle w:val="BodyText"/>
              <w:ind w:firstLine="0"/>
              <w:jc w:val="center"/>
              <w:rPr>
                <w:lang w:val="en-GB" w:eastAsia="en-US"/>
              </w:rPr>
            </w:pPr>
            <w:r w:rsidRPr="00535A4C">
              <w:rPr>
                <w:sz w:val="22"/>
                <w:szCs w:val="22"/>
                <w:lang w:val="en-GB" w:eastAsia="en-US"/>
              </w:rPr>
              <w:t>17.72</w:t>
            </w:r>
          </w:p>
        </w:tc>
      </w:tr>
      <w:tr w:rsidR="00AB6A88" w:rsidRPr="00535A4C" w14:paraId="6A8918EB" w14:textId="77777777" w:rsidTr="00FA35AC">
        <w:tc>
          <w:tcPr>
            <w:tcW w:w="0" w:type="auto"/>
            <w:tcBorders>
              <w:top w:val="nil"/>
              <w:left w:val="nil"/>
              <w:bottom w:val="nil"/>
              <w:right w:val="single" w:sz="4" w:space="0" w:color="FFFFFF"/>
            </w:tcBorders>
          </w:tcPr>
          <w:p w14:paraId="7DA82FD1" w14:textId="77777777" w:rsidR="00AB6A88" w:rsidRPr="00535A4C" w:rsidRDefault="00AB6A88" w:rsidP="00E8204B">
            <w:pPr>
              <w:pStyle w:val="BodyText"/>
              <w:ind w:firstLine="0"/>
              <w:jc w:val="both"/>
              <w:rPr>
                <w:lang w:val="en-GB" w:eastAsia="en-US"/>
              </w:rPr>
            </w:pPr>
            <w:r w:rsidRPr="00535A4C">
              <w:rPr>
                <w:sz w:val="22"/>
                <w:szCs w:val="22"/>
                <w:lang w:val="en-GB" w:eastAsia="en-US"/>
              </w:rPr>
              <w:t>GOLDSIL</w:t>
            </w:r>
          </w:p>
        </w:tc>
        <w:tc>
          <w:tcPr>
            <w:tcW w:w="0" w:type="auto"/>
            <w:tcBorders>
              <w:top w:val="nil"/>
              <w:left w:val="single" w:sz="4" w:space="0" w:color="FFFFFF"/>
              <w:bottom w:val="nil"/>
              <w:right w:val="nil"/>
            </w:tcBorders>
          </w:tcPr>
          <w:p w14:paraId="383F60EF" w14:textId="77777777" w:rsidR="00AB6A88" w:rsidRPr="00535A4C" w:rsidRDefault="00AB6A88" w:rsidP="00A95881">
            <w:pPr>
              <w:pStyle w:val="BodyText"/>
              <w:ind w:firstLine="0"/>
              <w:jc w:val="center"/>
              <w:rPr>
                <w:lang w:val="en-GB" w:eastAsia="en-US"/>
              </w:rPr>
            </w:pPr>
            <w:r w:rsidRPr="00535A4C">
              <w:rPr>
                <w:sz w:val="22"/>
                <w:szCs w:val="22"/>
                <w:lang w:val="en-GB" w:eastAsia="en-US"/>
              </w:rPr>
              <w:t>0.03</w:t>
            </w:r>
          </w:p>
        </w:tc>
        <w:tc>
          <w:tcPr>
            <w:tcW w:w="0" w:type="auto"/>
            <w:tcBorders>
              <w:top w:val="nil"/>
              <w:left w:val="nil"/>
              <w:bottom w:val="nil"/>
              <w:right w:val="nil"/>
            </w:tcBorders>
          </w:tcPr>
          <w:p w14:paraId="72767BF9" w14:textId="77777777" w:rsidR="00AB6A88" w:rsidRPr="00535A4C" w:rsidRDefault="00AB6A88" w:rsidP="00A95881">
            <w:pPr>
              <w:pStyle w:val="BodyText"/>
              <w:ind w:firstLine="0"/>
              <w:jc w:val="center"/>
              <w:rPr>
                <w:lang w:val="en-GB" w:eastAsia="en-US"/>
              </w:rPr>
            </w:pPr>
            <w:r w:rsidRPr="00535A4C">
              <w:rPr>
                <w:sz w:val="22"/>
                <w:szCs w:val="22"/>
                <w:lang w:val="en-GB" w:eastAsia="en-US"/>
              </w:rPr>
              <w:t>13.01</w:t>
            </w:r>
          </w:p>
        </w:tc>
        <w:tc>
          <w:tcPr>
            <w:tcW w:w="0" w:type="auto"/>
            <w:tcBorders>
              <w:top w:val="nil"/>
              <w:left w:val="nil"/>
              <w:bottom w:val="nil"/>
              <w:right w:val="nil"/>
            </w:tcBorders>
          </w:tcPr>
          <w:p w14:paraId="467F06C7" w14:textId="77777777" w:rsidR="00AB6A88" w:rsidRPr="00535A4C" w:rsidRDefault="00AB6A88" w:rsidP="00A95881">
            <w:pPr>
              <w:pStyle w:val="BodyText"/>
              <w:ind w:firstLine="0"/>
              <w:jc w:val="center"/>
              <w:rPr>
                <w:lang w:val="en-GB" w:eastAsia="en-US"/>
              </w:rPr>
            </w:pPr>
            <w:r w:rsidRPr="00535A4C">
              <w:rPr>
                <w:sz w:val="22"/>
                <w:szCs w:val="22"/>
                <w:lang w:val="en-GB" w:eastAsia="en-US"/>
              </w:rPr>
              <w:t>1.95</w:t>
            </w:r>
          </w:p>
        </w:tc>
        <w:tc>
          <w:tcPr>
            <w:tcW w:w="0" w:type="auto"/>
            <w:tcBorders>
              <w:top w:val="nil"/>
              <w:left w:val="nil"/>
              <w:bottom w:val="nil"/>
              <w:right w:val="nil"/>
            </w:tcBorders>
          </w:tcPr>
          <w:p w14:paraId="1233DBEF" w14:textId="77777777" w:rsidR="00AB6A88" w:rsidRPr="00535A4C" w:rsidRDefault="00AB6A88" w:rsidP="00A95881">
            <w:pPr>
              <w:pStyle w:val="BodyText"/>
              <w:ind w:firstLine="0"/>
              <w:jc w:val="center"/>
              <w:rPr>
                <w:lang w:val="en-GB" w:eastAsia="en-US"/>
              </w:rPr>
            </w:pPr>
            <w:r w:rsidRPr="00535A4C">
              <w:rPr>
                <w:sz w:val="22"/>
                <w:szCs w:val="22"/>
                <w:lang w:val="en-GB" w:eastAsia="en-US"/>
              </w:rPr>
              <w:t>19.67</w:t>
            </w:r>
          </w:p>
        </w:tc>
      </w:tr>
      <w:tr w:rsidR="00AB6A88" w:rsidRPr="00535A4C" w14:paraId="64FF862A" w14:textId="77777777" w:rsidTr="00FA35AC">
        <w:tc>
          <w:tcPr>
            <w:tcW w:w="0" w:type="auto"/>
            <w:tcBorders>
              <w:top w:val="nil"/>
              <w:left w:val="nil"/>
              <w:bottom w:val="nil"/>
              <w:right w:val="single" w:sz="4" w:space="0" w:color="FFFFFF"/>
            </w:tcBorders>
          </w:tcPr>
          <w:p w14:paraId="288DD8F2" w14:textId="77777777" w:rsidR="00AB6A88" w:rsidRPr="00535A4C" w:rsidRDefault="00AB6A88" w:rsidP="00E8204B">
            <w:pPr>
              <w:pStyle w:val="BodyText"/>
              <w:ind w:firstLine="0"/>
              <w:jc w:val="both"/>
              <w:rPr>
                <w:lang w:val="en-GB" w:eastAsia="en-US"/>
              </w:rPr>
            </w:pPr>
            <w:r w:rsidRPr="00535A4C">
              <w:rPr>
                <w:sz w:val="22"/>
                <w:szCs w:val="22"/>
                <w:lang w:val="en-GB" w:eastAsia="en-US"/>
              </w:rPr>
              <w:t>TURNOVER</w:t>
            </w:r>
          </w:p>
        </w:tc>
        <w:tc>
          <w:tcPr>
            <w:tcW w:w="0" w:type="auto"/>
            <w:tcBorders>
              <w:top w:val="nil"/>
              <w:left w:val="single" w:sz="4" w:space="0" w:color="FFFFFF"/>
              <w:bottom w:val="nil"/>
              <w:right w:val="nil"/>
            </w:tcBorders>
          </w:tcPr>
          <w:p w14:paraId="64C89321" w14:textId="77777777" w:rsidR="00AB6A88" w:rsidRPr="00535A4C" w:rsidRDefault="00AB6A88" w:rsidP="00A95881">
            <w:pPr>
              <w:pStyle w:val="BodyText"/>
              <w:ind w:firstLine="0"/>
              <w:jc w:val="center"/>
              <w:rPr>
                <w:lang w:val="en-GB" w:eastAsia="en-US"/>
              </w:rPr>
            </w:pPr>
            <w:r w:rsidRPr="00535A4C">
              <w:rPr>
                <w:sz w:val="22"/>
                <w:szCs w:val="22"/>
                <w:lang w:val="en-GB" w:eastAsia="en-US"/>
              </w:rPr>
              <w:t>0.081</w:t>
            </w:r>
          </w:p>
        </w:tc>
        <w:tc>
          <w:tcPr>
            <w:tcW w:w="0" w:type="auto"/>
            <w:tcBorders>
              <w:top w:val="nil"/>
              <w:left w:val="nil"/>
              <w:bottom w:val="nil"/>
              <w:right w:val="nil"/>
            </w:tcBorders>
          </w:tcPr>
          <w:p w14:paraId="7DC1434F" w14:textId="77777777" w:rsidR="00AB6A88" w:rsidRPr="00535A4C" w:rsidRDefault="00AB6A88" w:rsidP="00A95881">
            <w:pPr>
              <w:pStyle w:val="BodyText"/>
              <w:ind w:firstLine="0"/>
              <w:jc w:val="center"/>
              <w:rPr>
                <w:lang w:val="en-GB" w:eastAsia="en-US"/>
              </w:rPr>
            </w:pPr>
            <w:r w:rsidRPr="00535A4C">
              <w:rPr>
                <w:sz w:val="22"/>
                <w:szCs w:val="22"/>
                <w:lang w:val="en-GB" w:eastAsia="en-US"/>
              </w:rPr>
              <w:t>12.96</w:t>
            </w:r>
          </w:p>
        </w:tc>
        <w:tc>
          <w:tcPr>
            <w:tcW w:w="0" w:type="auto"/>
            <w:tcBorders>
              <w:top w:val="nil"/>
              <w:left w:val="nil"/>
              <w:bottom w:val="nil"/>
              <w:right w:val="nil"/>
            </w:tcBorders>
          </w:tcPr>
          <w:p w14:paraId="7A40243C" w14:textId="77777777" w:rsidR="00AB6A88" w:rsidRPr="00535A4C" w:rsidRDefault="00AB6A88" w:rsidP="00A95881">
            <w:pPr>
              <w:pStyle w:val="BodyText"/>
              <w:ind w:firstLine="0"/>
              <w:jc w:val="center"/>
              <w:rPr>
                <w:lang w:val="en-GB" w:eastAsia="en-US"/>
              </w:rPr>
            </w:pPr>
            <w:r w:rsidRPr="00535A4C">
              <w:rPr>
                <w:sz w:val="22"/>
                <w:szCs w:val="22"/>
                <w:lang w:val="en-GB" w:eastAsia="en-US"/>
              </w:rPr>
              <w:t>1.94</w:t>
            </w:r>
          </w:p>
        </w:tc>
        <w:tc>
          <w:tcPr>
            <w:tcW w:w="0" w:type="auto"/>
            <w:tcBorders>
              <w:top w:val="nil"/>
              <w:left w:val="nil"/>
              <w:bottom w:val="nil"/>
              <w:right w:val="nil"/>
            </w:tcBorders>
          </w:tcPr>
          <w:p w14:paraId="09BAF96D" w14:textId="77777777" w:rsidR="00AB6A88" w:rsidRPr="00535A4C" w:rsidRDefault="00AB6A88" w:rsidP="00A95881">
            <w:pPr>
              <w:pStyle w:val="BodyText"/>
              <w:ind w:firstLine="0"/>
              <w:jc w:val="center"/>
              <w:rPr>
                <w:lang w:val="en-GB" w:eastAsia="en-US"/>
              </w:rPr>
            </w:pPr>
            <w:r w:rsidRPr="00535A4C">
              <w:rPr>
                <w:sz w:val="22"/>
                <w:szCs w:val="22"/>
                <w:lang w:val="en-GB" w:eastAsia="en-US"/>
              </w:rPr>
              <w:t>21.61</w:t>
            </w:r>
          </w:p>
        </w:tc>
      </w:tr>
      <w:tr w:rsidR="00AB6A88" w:rsidRPr="00535A4C" w14:paraId="2FD5D8C9" w14:textId="77777777" w:rsidTr="00FA35AC">
        <w:tc>
          <w:tcPr>
            <w:tcW w:w="0" w:type="auto"/>
            <w:tcBorders>
              <w:top w:val="nil"/>
              <w:left w:val="nil"/>
              <w:bottom w:val="nil"/>
              <w:right w:val="single" w:sz="4" w:space="0" w:color="FFFFFF"/>
            </w:tcBorders>
          </w:tcPr>
          <w:p w14:paraId="39CAE29C" w14:textId="77777777" w:rsidR="00AB6A88" w:rsidRPr="00535A4C" w:rsidRDefault="00AB6A88" w:rsidP="00E8204B">
            <w:pPr>
              <w:pStyle w:val="BodyText"/>
              <w:ind w:firstLine="0"/>
              <w:jc w:val="both"/>
              <w:rPr>
                <w:lang w:val="en-GB" w:eastAsia="en-US"/>
              </w:rPr>
            </w:pPr>
            <w:r w:rsidRPr="00535A4C">
              <w:rPr>
                <w:sz w:val="22"/>
                <w:szCs w:val="22"/>
                <w:lang w:val="en-GB" w:eastAsia="en-US"/>
              </w:rPr>
              <w:t>RORK2*</w:t>
            </w:r>
          </w:p>
        </w:tc>
        <w:tc>
          <w:tcPr>
            <w:tcW w:w="0" w:type="auto"/>
            <w:tcBorders>
              <w:top w:val="nil"/>
              <w:left w:val="single" w:sz="4" w:space="0" w:color="FFFFFF"/>
              <w:bottom w:val="nil"/>
              <w:right w:val="nil"/>
            </w:tcBorders>
          </w:tcPr>
          <w:p w14:paraId="37643CFC" w14:textId="77777777" w:rsidR="00AB6A88" w:rsidRPr="00535A4C" w:rsidRDefault="00AB6A88" w:rsidP="00A95881">
            <w:pPr>
              <w:pStyle w:val="BodyText"/>
              <w:ind w:firstLine="0"/>
              <w:jc w:val="center"/>
              <w:rPr>
                <w:lang w:val="en-GB" w:eastAsia="en-US"/>
              </w:rPr>
            </w:pPr>
            <w:r w:rsidRPr="00535A4C">
              <w:rPr>
                <w:sz w:val="22"/>
                <w:szCs w:val="22"/>
                <w:lang w:val="en-GB" w:eastAsia="en-US"/>
              </w:rPr>
              <w:t>0.111</w:t>
            </w:r>
          </w:p>
        </w:tc>
        <w:tc>
          <w:tcPr>
            <w:tcW w:w="0" w:type="auto"/>
            <w:tcBorders>
              <w:top w:val="nil"/>
              <w:left w:val="nil"/>
              <w:bottom w:val="nil"/>
              <w:right w:val="nil"/>
            </w:tcBorders>
          </w:tcPr>
          <w:p w14:paraId="1B845FDF" w14:textId="77777777" w:rsidR="00AB6A88" w:rsidRPr="00535A4C" w:rsidRDefault="00AB6A88" w:rsidP="00A95881">
            <w:pPr>
              <w:pStyle w:val="BodyText"/>
              <w:ind w:firstLine="0"/>
              <w:jc w:val="center"/>
              <w:rPr>
                <w:lang w:val="en-GB" w:eastAsia="en-US"/>
              </w:rPr>
            </w:pPr>
            <w:r w:rsidRPr="00535A4C">
              <w:rPr>
                <w:sz w:val="22"/>
                <w:szCs w:val="22"/>
                <w:lang w:val="en-GB" w:eastAsia="en-US"/>
              </w:rPr>
              <w:t>12.02</w:t>
            </w:r>
          </w:p>
        </w:tc>
        <w:tc>
          <w:tcPr>
            <w:tcW w:w="0" w:type="auto"/>
            <w:tcBorders>
              <w:top w:val="nil"/>
              <w:left w:val="nil"/>
              <w:bottom w:val="nil"/>
              <w:right w:val="nil"/>
            </w:tcBorders>
          </w:tcPr>
          <w:p w14:paraId="405EBD10" w14:textId="77777777" w:rsidR="00AB6A88" w:rsidRPr="00535A4C" w:rsidRDefault="00AB6A88" w:rsidP="00A95881">
            <w:pPr>
              <w:pStyle w:val="BodyText"/>
              <w:ind w:firstLine="0"/>
              <w:jc w:val="center"/>
              <w:rPr>
                <w:lang w:val="en-GB" w:eastAsia="en-US"/>
              </w:rPr>
            </w:pPr>
            <w:r w:rsidRPr="00535A4C">
              <w:rPr>
                <w:sz w:val="22"/>
                <w:szCs w:val="22"/>
                <w:lang w:val="en-GB" w:eastAsia="en-US"/>
              </w:rPr>
              <w:t>1.8</w:t>
            </w:r>
          </w:p>
        </w:tc>
        <w:tc>
          <w:tcPr>
            <w:tcW w:w="0" w:type="auto"/>
            <w:tcBorders>
              <w:top w:val="nil"/>
              <w:left w:val="nil"/>
              <w:bottom w:val="nil"/>
              <w:right w:val="nil"/>
            </w:tcBorders>
          </w:tcPr>
          <w:p w14:paraId="0D87DA7E" w14:textId="77777777" w:rsidR="00AB6A88" w:rsidRPr="00535A4C" w:rsidRDefault="00AB6A88" w:rsidP="00A95881">
            <w:pPr>
              <w:pStyle w:val="BodyText"/>
              <w:ind w:firstLine="0"/>
              <w:jc w:val="center"/>
              <w:rPr>
                <w:lang w:val="en-GB" w:eastAsia="en-US"/>
              </w:rPr>
            </w:pPr>
            <w:r w:rsidRPr="00535A4C">
              <w:rPr>
                <w:sz w:val="22"/>
                <w:szCs w:val="22"/>
                <w:lang w:val="en-GB" w:eastAsia="en-US"/>
              </w:rPr>
              <w:t>22.69</w:t>
            </w:r>
          </w:p>
        </w:tc>
      </w:tr>
      <w:tr w:rsidR="00AB6A88" w:rsidRPr="00535A4C" w14:paraId="6B5BF56B" w14:textId="77777777" w:rsidTr="00FA35AC">
        <w:tc>
          <w:tcPr>
            <w:tcW w:w="0" w:type="auto"/>
            <w:tcBorders>
              <w:top w:val="nil"/>
              <w:left w:val="nil"/>
              <w:bottom w:val="nil"/>
              <w:right w:val="single" w:sz="4" w:space="0" w:color="FFFFFF"/>
            </w:tcBorders>
          </w:tcPr>
          <w:p w14:paraId="39EA55A9" w14:textId="77777777" w:rsidR="00AB6A88" w:rsidRPr="00535A4C" w:rsidRDefault="00AB6A88" w:rsidP="00E8204B">
            <w:pPr>
              <w:pStyle w:val="BodyText"/>
              <w:ind w:firstLine="0"/>
              <w:jc w:val="both"/>
              <w:rPr>
                <w:lang w:val="en-GB" w:eastAsia="en-US"/>
              </w:rPr>
            </w:pPr>
            <w:r w:rsidRPr="00535A4C">
              <w:rPr>
                <w:sz w:val="22"/>
                <w:szCs w:val="22"/>
                <w:lang w:val="en-GB" w:eastAsia="en-US"/>
              </w:rPr>
              <w:t>UN</w:t>
            </w:r>
          </w:p>
        </w:tc>
        <w:tc>
          <w:tcPr>
            <w:tcW w:w="0" w:type="auto"/>
            <w:tcBorders>
              <w:top w:val="nil"/>
              <w:left w:val="single" w:sz="4" w:space="0" w:color="FFFFFF"/>
              <w:bottom w:val="nil"/>
              <w:right w:val="nil"/>
            </w:tcBorders>
          </w:tcPr>
          <w:p w14:paraId="6DE50889" w14:textId="77777777" w:rsidR="00AB6A88" w:rsidRPr="00535A4C" w:rsidRDefault="00AB6A88" w:rsidP="00A95881">
            <w:pPr>
              <w:pStyle w:val="BodyText"/>
              <w:ind w:firstLine="0"/>
              <w:jc w:val="center"/>
              <w:rPr>
                <w:lang w:val="en-GB" w:eastAsia="en-US"/>
              </w:rPr>
            </w:pPr>
            <w:r w:rsidRPr="00535A4C">
              <w:rPr>
                <w:sz w:val="22"/>
                <w:szCs w:val="22"/>
                <w:lang w:val="en-GB" w:eastAsia="en-US"/>
              </w:rPr>
              <w:t>0.019</w:t>
            </w:r>
          </w:p>
        </w:tc>
        <w:tc>
          <w:tcPr>
            <w:tcW w:w="0" w:type="auto"/>
            <w:tcBorders>
              <w:top w:val="nil"/>
              <w:left w:val="nil"/>
              <w:bottom w:val="nil"/>
              <w:right w:val="nil"/>
            </w:tcBorders>
          </w:tcPr>
          <w:p w14:paraId="06856F4D" w14:textId="77777777" w:rsidR="00AB6A88" w:rsidRPr="00535A4C" w:rsidRDefault="00AB6A88" w:rsidP="00A95881">
            <w:pPr>
              <w:pStyle w:val="BodyText"/>
              <w:ind w:firstLine="0"/>
              <w:jc w:val="center"/>
              <w:rPr>
                <w:lang w:val="en-GB" w:eastAsia="en-US"/>
              </w:rPr>
            </w:pPr>
            <w:r w:rsidRPr="00535A4C">
              <w:rPr>
                <w:sz w:val="22"/>
                <w:szCs w:val="22"/>
                <w:lang w:val="en-GB" w:eastAsia="en-US"/>
              </w:rPr>
              <w:t>11.68</w:t>
            </w:r>
          </w:p>
        </w:tc>
        <w:tc>
          <w:tcPr>
            <w:tcW w:w="0" w:type="auto"/>
            <w:tcBorders>
              <w:top w:val="nil"/>
              <w:left w:val="nil"/>
              <w:bottom w:val="nil"/>
              <w:right w:val="nil"/>
            </w:tcBorders>
          </w:tcPr>
          <w:p w14:paraId="480B9671" w14:textId="77777777" w:rsidR="00AB6A88" w:rsidRPr="00535A4C" w:rsidRDefault="00AB6A88" w:rsidP="00A95881">
            <w:pPr>
              <w:pStyle w:val="BodyText"/>
              <w:ind w:firstLine="0"/>
              <w:jc w:val="center"/>
              <w:rPr>
                <w:lang w:val="en-GB" w:eastAsia="en-US"/>
              </w:rPr>
            </w:pPr>
            <w:r w:rsidRPr="00535A4C">
              <w:rPr>
                <w:sz w:val="22"/>
                <w:szCs w:val="22"/>
                <w:lang w:val="en-GB" w:eastAsia="en-US"/>
              </w:rPr>
              <w:t>1.75</w:t>
            </w:r>
          </w:p>
        </w:tc>
        <w:tc>
          <w:tcPr>
            <w:tcW w:w="0" w:type="auto"/>
            <w:tcBorders>
              <w:top w:val="nil"/>
              <w:left w:val="nil"/>
              <w:bottom w:val="nil"/>
              <w:right w:val="nil"/>
            </w:tcBorders>
          </w:tcPr>
          <w:p w14:paraId="7F975319" w14:textId="77777777" w:rsidR="00AB6A88" w:rsidRPr="00535A4C" w:rsidRDefault="00AB6A88" w:rsidP="00A95881">
            <w:pPr>
              <w:pStyle w:val="BodyText"/>
              <w:ind w:firstLine="0"/>
              <w:jc w:val="center"/>
              <w:rPr>
                <w:lang w:val="en-GB" w:eastAsia="en-US"/>
              </w:rPr>
            </w:pPr>
            <w:r w:rsidRPr="00535A4C">
              <w:rPr>
                <w:sz w:val="22"/>
                <w:szCs w:val="22"/>
                <w:lang w:val="en-GB" w:eastAsia="en-US"/>
              </w:rPr>
              <w:t>24.44</w:t>
            </w:r>
          </w:p>
        </w:tc>
      </w:tr>
      <w:tr w:rsidR="00AB6A88" w:rsidRPr="00535A4C" w14:paraId="103E6EB9" w14:textId="77777777" w:rsidTr="00FA35AC">
        <w:tc>
          <w:tcPr>
            <w:tcW w:w="0" w:type="auto"/>
            <w:tcBorders>
              <w:top w:val="nil"/>
              <w:left w:val="nil"/>
              <w:bottom w:val="nil"/>
              <w:right w:val="single" w:sz="4" w:space="0" w:color="FFFFFF"/>
            </w:tcBorders>
          </w:tcPr>
          <w:p w14:paraId="41E2F625" w14:textId="77777777" w:rsidR="00AB6A88" w:rsidRPr="00535A4C" w:rsidRDefault="00AB6A88" w:rsidP="00E8204B">
            <w:pPr>
              <w:pStyle w:val="BodyText"/>
              <w:ind w:firstLine="0"/>
              <w:jc w:val="both"/>
              <w:rPr>
                <w:lang w:val="en-GB" w:eastAsia="en-US"/>
              </w:rPr>
            </w:pPr>
            <w:r w:rsidRPr="00535A4C">
              <w:rPr>
                <w:sz w:val="22"/>
                <w:szCs w:val="22"/>
                <w:lang w:val="en-GB" w:eastAsia="en-US"/>
              </w:rPr>
              <w:t>M1*</w:t>
            </w:r>
          </w:p>
        </w:tc>
        <w:tc>
          <w:tcPr>
            <w:tcW w:w="0" w:type="auto"/>
            <w:tcBorders>
              <w:top w:val="nil"/>
              <w:left w:val="single" w:sz="4" w:space="0" w:color="FFFFFF"/>
              <w:bottom w:val="nil"/>
              <w:right w:val="nil"/>
            </w:tcBorders>
          </w:tcPr>
          <w:p w14:paraId="3B09AF0D" w14:textId="77777777" w:rsidR="00AB6A88" w:rsidRPr="00535A4C" w:rsidRDefault="00AB6A88" w:rsidP="00A95881">
            <w:pPr>
              <w:pStyle w:val="BodyText"/>
              <w:ind w:firstLine="0"/>
              <w:jc w:val="center"/>
              <w:rPr>
                <w:lang w:val="en-GB" w:eastAsia="en-US"/>
              </w:rPr>
            </w:pPr>
            <w:r w:rsidRPr="00535A4C">
              <w:rPr>
                <w:sz w:val="22"/>
                <w:szCs w:val="22"/>
                <w:lang w:val="en-GB" w:eastAsia="en-US"/>
              </w:rPr>
              <w:t>0.174</w:t>
            </w:r>
          </w:p>
        </w:tc>
        <w:tc>
          <w:tcPr>
            <w:tcW w:w="0" w:type="auto"/>
            <w:tcBorders>
              <w:top w:val="nil"/>
              <w:left w:val="nil"/>
              <w:bottom w:val="nil"/>
              <w:right w:val="nil"/>
            </w:tcBorders>
          </w:tcPr>
          <w:p w14:paraId="7D8D55BE" w14:textId="77777777" w:rsidR="00AB6A88" w:rsidRPr="00535A4C" w:rsidRDefault="00AB6A88" w:rsidP="00A95881">
            <w:pPr>
              <w:pStyle w:val="BodyText"/>
              <w:ind w:firstLine="0"/>
              <w:jc w:val="center"/>
              <w:rPr>
                <w:lang w:val="en-GB" w:eastAsia="en-US"/>
              </w:rPr>
            </w:pPr>
            <w:r w:rsidRPr="00535A4C">
              <w:rPr>
                <w:sz w:val="22"/>
                <w:szCs w:val="22"/>
                <w:lang w:val="en-GB" w:eastAsia="en-US"/>
              </w:rPr>
              <w:t>11.22</w:t>
            </w:r>
          </w:p>
        </w:tc>
        <w:tc>
          <w:tcPr>
            <w:tcW w:w="0" w:type="auto"/>
            <w:tcBorders>
              <w:top w:val="nil"/>
              <w:left w:val="nil"/>
              <w:bottom w:val="nil"/>
              <w:right w:val="nil"/>
            </w:tcBorders>
          </w:tcPr>
          <w:p w14:paraId="321F59ED" w14:textId="77777777" w:rsidR="00AB6A88" w:rsidRPr="00535A4C" w:rsidRDefault="00AB6A88" w:rsidP="00A95881">
            <w:pPr>
              <w:pStyle w:val="BodyText"/>
              <w:ind w:firstLine="0"/>
              <w:jc w:val="center"/>
              <w:rPr>
                <w:lang w:val="en-GB" w:eastAsia="en-US"/>
              </w:rPr>
            </w:pPr>
            <w:r w:rsidRPr="00535A4C">
              <w:rPr>
                <w:sz w:val="22"/>
                <w:szCs w:val="22"/>
                <w:lang w:val="en-GB" w:eastAsia="en-US"/>
              </w:rPr>
              <w:t>1.68</w:t>
            </w:r>
          </w:p>
        </w:tc>
        <w:tc>
          <w:tcPr>
            <w:tcW w:w="0" w:type="auto"/>
            <w:tcBorders>
              <w:top w:val="nil"/>
              <w:left w:val="nil"/>
              <w:bottom w:val="nil"/>
              <w:right w:val="nil"/>
            </w:tcBorders>
          </w:tcPr>
          <w:p w14:paraId="77C9B555" w14:textId="77777777" w:rsidR="00AB6A88" w:rsidRPr="00535A4C" w:rsidRDefault="00AB6A88" w:rsidP="00A95881">
            <w:pPr>
              <w:pStyle w:val="BodyText"/>
              <w:ind w:firstLine="0"/>
              <w:jc w:val="center"/>
              <w:rPr>
                <w:lang w:val="en-GB" w:eastAsia="en-US"/>
              </w:rPr>
            </w:pPr>
            <w:r w:rsidRPr="00535A4C">
              <w:rPr>
                <w:sz w:val="22"/>
                <w:szCs w:val="22"/>
                <w:lang w:val="en-GB" w:eastAsia="en-US"/>
              </w:rPr>
              <w:t>26.12</w:t>
            </w:r>
          </w:p>
        </w:tc>
      </w:tr>
      <w:tr w:rsidR="00AB6A88" w:rsidRPr="00535A4C" w14:paraId="46760E72" w14:textId="77777777" w:rsidTr="00FA35AC">
        <w:tc>
          <w:tcPr>
            <w:tcW w:w="0" w:type="auto"/>
            <w:tcBorders>
              <w:top w:val="nil"/>
              <w:left w:val="nil"/>
              <w:bottom w:val="nil"/>
              <w:right w:val="single" w:sz="4" w:space="0" w:color="FFFFFF"/>
            </w:tcBorders>
          </w:tcPr>
          <w:p w14:paraId="462A77F6" w14:textId="77777777" w:rsidR="00AB6A88" w:rsidRPr="00535A4C" w:rsidRDefault="00AB6A88" w:rsidP="00E8204B">
            <w:pPr>
              <w:pStyle w:val="BodyText"/>
              <w:ind w:firstLine="0"/>
              <w:jc w:val="both"/>
              <w:rPr>
                <w:lang w:val="en-GB" w:eastAsia="en-US"/>
              </w:rPr>
            </w:pPr>
            <w:r w:rsidRPr="00535A4C">
              <w:rPr>
                <w:sz w:val="22"/>
                <w:szCs w:val="22"/>
                <w:lang w:val="en-GB" w:eastAsia="en-US"/>
              </w:rPr>
              <w:t>EXPP*</w:t>
            </w:r>
          </w:p>
        </w:tc>
        <w:tc>
          <w:tcPr>
            <w:tcW w:w="0" w:type="auto"/>
            <w:tcBorders>
              <w:top w:val="nil"/>
              <w:left w:val="single" w:sz="4" w:space="0" w:color="FFFFFF"/>
              <w:bottom w:val="nil"/>
              <w:right w:val="nil"/>
            </w:tcBorders>
          </w:tcPr>
          <w:p w14:paraId="66490084" w14:textId="77777777" w:rsidR="00AB6A88" w:rsidRPr="00535A4C" w:rsidRDefault="00AB6A88" w:rsidP="00A95881">
            <w:pPr>
              <w:pStyle w:val="BodyText"/>
              <w:ind w:firstLine="0"/>
              <w:jc w:val="center"/>
              <w:rPr>
                <w:lang w:val="en-GB" w:eastAsia="en-US"/>
              </w:rPr>
            </w:pPr>
            <w:r w:rsidRPr="00535A4C">
              <w:rPr>
                <w:sz w:val="22"/>
                <w:szCs w:val="22"/>
                <w:lang w:val="en-GB" w:eastAsia="en-US"/>
              </w:rPr>
              <w:t>0.174</w:t>
            </w:r>
          </w:p>
        </w:tc>
        <w:tc>
          <w:tcPr>
            <w:tcW w:w="0" w:type="auto"/>
            <w:tcBorders>
              <w:top w:val="nil"/>
              <w:left w:val="nil"/>
              <w:bottom w:val="nil"/>
              <w:right w:val="nil"/>
            </w:tcBorders>
          </w:tcPr>
          <w:p w14:paraId="19A5B43A" w14:textId="77777777" w:rsidR="00AB6A88" w:rsidRPr="00535A4C" w:rsidRDefault="00AB6A88" w:rsidP="00A95881">
            <w:pPr>
              <w:pStyle w:val="BodyText"/>
              <w:ind w:firstLine="0"/>
              <w:jc w:val="center"/>
              <w:rPr>
                <w:lang w:val="en-GB" w:eastAsia="en-US"/>
              </w:rPr>
            </w:pPr>
            <w:r w:rsidRPr="00535A4C">
              <w:rPr>
                <w:sz w:val="22"/>
                <w:szCs w:val="22"/>
                <w:lang w:val="en-GB" w:eastAsia="en-US"/>
              </w:rPr>
              <w:t>10.77</w:t>
            </w:r>
          </w:p>
        </w:tc>
        <w:tc>
          <w:tcPr>
            <w:tcW w:w="0" w:type="auto"/>
            <w:tcBorders>
              <w:top w:val="nil"/>
              <w:left w:val="nil"/>
              <w:bottom w:val="nil"/>
              <w:right w:val="nil"/>
            </w:tcBorders>
          </w:tcPr>
          <w:p w14:paraId="04FFDA9C" w14:textId="77777777" w:rsidR="00AB6A88" w:rsidRPr="00535A4C" w:rsidRDefault="00AB6A88" w:rsidP="00A95881">
            <w:pPr>
              <w:pStyle w:val="BodyText"/>
              <w:ind w:firstLine="0"/>
              <w:jc w:val="center"/>
              <w:rPr>
                <w:lang w:val="en-GB" w:eastAsia="en-US"/>
              </w:rPr>
            </w:pPr>
            <w:r w:rsidRPr="00535A4C">
              <w:rPr>
                <w:sz w:val="22"/>
                <w:szCs w:val="22"/>
                <w:lang w:val="en-GB" w:eastAsia="en-US"/>
              </w:rPr>
              <w:t>1.61</w:t>
            </w:r>
          </w:p>
        </w:tc>
        <w:tc>
          <w:tcPr>
            <w:tcW w:w="0" w:type="auto"/>
            <w:tcBorders>
              <w:top w:val="nil"/>
              <w:left w:val="nil"/>
              <w:bottom w:val="nil"/>
              <w:right w:val="nil"/>
            </w:tcBorders>
          </w:tcPr>
          <w:p w14:paraId="6672355D" w14:textId="77777777" w:rsidR="00AB6A88" w:rsidRPr="00535A4C" w:rsidRDefault="00AB6A88" w:rsidP="00A95881">
            <w:pPr>
              <w:pStyle w:val="BodyText"/>
              <w:ind w:firstLine="0"/>
              <w:jc w:val="center"/>
              <w:rPr>
                <w:lang w:val="en-GB" w:eastAsia="en-US"/>
              </w:rPr>
            </w:pPr>
            <w:r w:rsidRPr="00535A4C">
              <w:rPr>
                <w:sz w:val="22"/>
                <w:szCs w:val="22"/>
                <w:lang w:val="en-GB" w:eastAsia="en-US"/>
              </w:rPr>
              <w:t>27.73</w:t>
            </w:r>
          </w:p>
        </w:tc>
      </w:tr>
      <w:tr w:rsidR="00AB6A88" w:rsidRPr="00535A4C" w14:paraId="003E59C1" w14:textId="77777777" w:rsidTr="00FA35AC">
        <w:tc>
          <w:tcPr>
            <w:tcW w:w="0" w:type="auto"/>
            <w:tcBorders>
              <w:top w:val="nil"/>
              <w:left w:val="nil"/>
              <w:bottom w:val="nil"/>
              <w:right w:val="single" w:sz="4" w:space="0" w:color="FFFFFF"/>
            </w:tcBorders>
          </w:tcPr>
          <w:p w14:paraId="3A150734" w14:textId="77777777" w:rsidR="00AB6A88" w:rsidRPr="00535A4C" w:rsidRDefault="00AB6A88" w:rsidP="00E8204B">
            <w:pPr>
              <w:pStyle w:val="BodyText"/>
              <w:ind w:firstLine="0"/>
              <w:jc w:val="both"/>
              <w:rPr>
                <w:lang w:val="en-GB" w:eastAsia="en-US"/>
              </w:rPr>
            </w:pPr>
            <w:r w:rsidRPr="00535A4C">
              <w:rPr>
                <w:sz w:val="22"/>
                <w:szCs w:val="22"/>
                <w:lang w:val="en-GB" w:eastAsia="en-US"/>
              </w:rPr>
              <w:t>DR*</w:t>
            </w:r>
          </w:p>
        </w:tc>
        <w:tc>
          <w:tcPr>
            <w:tcW w:w="0" w:type="auto"/>
            <w:tcBorders>
              <w:top w:val="nil"/>
              <w:left w:val="single" w:sz="4" w:space="0" w:color="FFFFFF"/>
              <w:bottom w:val="nil"/>
              <w:right w:val="nil"/>
            </w:tcBorders>
          </w:tcPr>
          <w:p w14:paraId="53C21CEC" w14:textId="77777777" w:rsidR="00AB6A88" w:rsidRPr="00535A4C" w:rsidRDefault="00AB6A88" w:rsidP="00A95881">
            <w:pPr>
              <w:pStyle w:val="BodyText"/>
              <w:ind w:firstLine="0"/>
              <w:jc w:val="center"/>
              <w:rPr>
                <w:lang w:val="en-GB" w:eastAsia="en-US"/>
              </w:rPr>
            </w:pPr>
            <w:r w:rsidRPr="00535A4C">
              <w:rPr>
                <w:sz w:val="22"/>
                <w:szCs w:val="22"/>
                <w:lang w:val="en-GB" w:eastAsia="en-US"/>
              </w:rPr>
              <w:t>0.202</w:t>
            </w:r>
          </w:p>
        </w:tc>
        <w:tc>
          <w:tcPr>
            <w:tcW w:w="0" w:type="auto"/>
            <w:tcBorders>
              <w:top w:val="nil"/>
              <w:left w:val="nil"/>
              <w:bottom w:val="nil"/>
              <w:right w:val="nil"/>
            </w:tcBorders>
          </w:tcPr>
          <w:p w14:paraId="58DC6B11" w14:textId="77777777" w:rsidR="00AB6A88" w:rsidRPr="00535A4C" w:rsidRDefault="00AB6A88" w:rsidP="00A95881">
            <w:pPr>
              <w:pStyle w:val="BodyText"/>
              <w:ind w:firstLine="0"/>
              <w:jc w:val="center"/>
              <w:rPr>
                <w:lang w:val="en-GB" w:eastAsia="en-US"/>
              </w:rPr>
            </w:pPr>
            <w:r w:rsidRPr="00535A4C">
              <w:rPr>
                <w:sz w:val="22"/>
                <w:szCs w:val="22"/>
                <w:lang w:val="en-GB" w:eastAsia="en-US"/>
              </w:rPr>
              <w:t>10.59</w:t>
            </w:r>
          </w:p>
        </w:tc>
        <w:tc>
          <w:tcPr>
            <w:tcW w:w="0" w:type="auto"/>
            <w:tcBorders>
              <w:top w:val="nil"/>
              <w:left w:val="nil"/>
              <w:bottom w:val="nil"/>
              <w:right w:val="nil"/>
            </w:tcBorders>
          </w:tcPr>
          <w:p w14:paraId="1B044325" w14:textId="77777777" w:rsidR="00AB6A88" w:rsidRPr="00535A4C" w:rsidRDefault="00AB6A88" w:rsidP="00A95881">
            <w:pPr>
              <w:pStyle w:val="BodyText"/>
              <w:ind w:firstLine="0"/>
              <w:jc w:val="center"/>
              <w:rPr>
                <w:lang w:val="en-GB" w:eastAsia="en-US"/>
              </w:rPr>
            </w:pPr>
            <w:r w:rsidRPr="00535A4C">
              <w:rPr>
                <w:sz w:val="22"/>
                <w:szCs w:val="22"/>
                <w:lang w:val="en-GB" w:eastAsia="en-US"/>
              </w:rPr>
              <w:t>1.58</w:t>
            </w:r>
          </w:p>
        </w:tc>
        <w:tc>
          <w:tcPr>
            <w:tcW w:w="0" w:type="auto"/>
            <w:tcBorders>
              <w:top w:val="nil"/>
              <w:left w:val="nil"/>
              <w:bottom w:val="nil"/>
              <w:right w:val="nil"/>
            </w:tcBorders>
          </w:tcPr>
          <w:p w14:paraId="0D909F5D" w14:textId="77777777" w:rsidR="00AB6A88" w:rsidRPr="00535A4C" w:rsidRDefault="00AB6A88" w:rsidP="00A95881">
            <w:pPr>
              <w:pStyle w:val="BodyText"/>
              <w:ind w:firstLine="0"/>
              <w:jc w:val="center"/>
              <w:rPr>
                <w:lang w:val="en-GB" w:eastAsia="en-US"/>
              </w:rPr>
            </w:pPr>
            <w:r w:rsidRPr="00535A4C">
              <w:rPr>
                <w:sz w:val="22"/>
                <w:szCs w:val="22"/>
                <w:lang w:val="en-GB" w:eastAsia="en-US"/>
              </w:rPr>
              <w:t>29.31</w:t>
            </w:r>
          </w:p>
        </w:tc>
      </w:tr>
      <w:tr w:rsidR="00AB6A88" w:rsidRPr="00535A4C" w14:paraId="188341EE" w14:textId="77777777" w:rsidTr="00FA35AC">
        <w:tc>
          <w:tcPr>
            <w:tcW w:w="0" w:type="auto"/>
            <w:tcBorders>
              <w:top w:val="nil"/>
              <w:left w:val="nil"/>
              <w:bottom w:val="nil"/>
              <w:right w:val="single" w:sz="4" w:space="0" w:color="FFFFFF"/>
            </w:tcBorders>
          </w:tcPr>
          <w:p w14:paraId="7305DF9B" w14:textId="77777777" w:rsidR="00AB6A88" w:rsidRPr="00535A4C" w:rsidRDefault="00994302" w:rsidP="00E8204B">
            <w:pPr>
              <w:pStyle w:val="BodyText"/>
              <w:ind w:firstLine="0"/>
              <w:jc w:val="both"/>
              <w:rPr>
                <w:lang w:val="en-GB" w:eastAsia="en-US"/>
              </w:rPr>
            </w:pPr>
            <w:r w:rsidRPr="00535A4C">
              <w:rPr>
                <w:sz w:val="22"/>
                <w:szCs w:val="22"/>
                <w:lang w:val="en-GB" w:eastAsia="en-US"/>
              </w:rPr>
              <w:lastRenderedPageBreak/>
              <w:t>NIR</w:t>
            </w:r>
            <w:r w:rsidR="00AB6A88" w:rsidRPr="00535A4C">
              <w:rPr>
                <w:sz w:val="22"/>
                <w:szCs w:val="22"/>
                <w:lang w:val="en-GB" w:eastAsia="en-US"/>
              </w:rPr>
              <w:t>6*</w:t>
            </w:r>
          </w:p>
        </w:tc>
        <w:tc>
          <w:tcPr>
            <w:tcW w:w="0" w:type="auto"/>
            <w:tcBorders>
              <w:top w:val="nil"/>
              <w:left w:val="single" w:sz="4" w:space="0" w:color="FFFFFF"/>
              <w:bottom w:val="nil"/>
              <w:right w:val="nil"/>
            </w:tcBorders>
          </w:tcPr>
          <w:p w14:paraId="43603ABD" w14:textId="77777777" w:rsidR="00AB6A88" w:rsidRPr="00535A4C" w:rsidRDefault="00AB6A88" w:rsidP="00A95881">
            <w:pPr>
              <w:pStyle w:val="BodyText"/>
              <w:ind w:firstLine="0"/>
              <w:jc w:val="center"/>
              <w:rPr>
                <w:lang w:val="en-GB" w:eastAsia="en-US"/>
              </w:rPr>
            </w:pPr>
            <w:r w:rsidRPr="00535A4C">
              <w:rPr>
                <w:sz w:val="22"/>
                <w:szCs w:val="22"/>
                <w:lang w:val="en-GB" w:eastAsia="en-US"/>
              </w:rPr>
              <w:t>0.202</w:t>
            </w:r>
          </w:p>
        </w:tc>
        <w:tc>
          <w:tcPr>
            <w:tcW w:w="0" w:type="auto"/>
            <w:tcBorders>
              <w:top w:val="nil"/>
              <w:left w:val="nil"/>
              <w:bottom w:val="nil"/>
              <w:right w:val="nil"/>
            </w:tcBorders>
          </w:tcPr>
          <w:p w14:paraId="5DBA4F6E" w14:textId="77777777" w:rsidR="00AB6A88" w:rsidRPr="00535A4C" w:rsidRDefault="00AB6A88" w:rsidP="00A95881">
            <w:pPr>
              <w:pStyle w:val="BodyText"/>
              <w:ind w:firstLine="0"/>
              <w:jc w:val="center"/>
              <w:rPr>
                <w:lang w:val="en-GB" w:eastAsia="en-US"/>
              </w:rPr>
            </w:pPr>
            <w:r w:rsidRPr="00535A4C">
              <w:rPr>
                <w:sz w:val="22"/>
                <w:szCs w:val="22"/>
                <w:lang w:val="en-GB" w:eastAsia="en-US"/>
              </w:rPr>
              <w:t>10.53</w:t>
            </w:r>
          </w:p>
        </w:tc>
        <w:tc>
          <w:tcPr>
            <w:tcW w:w="0" w:type="auto"/>
            <w:tcBorders>
              <w:top w:val="nil"/>
              <w:left w:val="nil"/>
              <w:bottom w:val="nil"/>
              <w:right w:val="nil"/>
            </w:tcBorders>
          </w:tcPr>
          <w:p w14:paraId="4F8628F2" w14:textId="77777777" w:rsidR="00AB6A88" w:rsidRPr="00535A4C" w:rsidRDefault="00AB6A88" w:rsidP="00A95881">
            <w:pPr>
              <w:pStyle w:val="BodyText"/>
              <w:ind w:firstLine="0"/>
              <w:jc w:val="center"/>
              <w:rPr>
                <w:lang w:val="en-GB" w:eastAsia="en-US"/>
              </w:rPr>
            </w:pPr>
            <w:r w:rsidRPr="00535A4C">
              <w:rPr>
                <w:sz w:val="22"/>
                <w:szCs w:val="22"/>
                <w:lang w:val="en-GB" w:eastAsia="en-US"/>
              </w:rPr>
              <w:t>1.58</w:t>
            </w:r>
          </w:p>
        </w:tc>
        <w:tc>
          <w:tcPr>
            <w:tcW w:w="0" w:type="auto"/>
            <w:tcBorders>
              <w:top w:val="nil"/>
              <w:left w:val="nil"/>
              <w:bottom w:val="nil"/>
              <w:right w:val="nil"/>
            </w:tcBorders>
          </w:tcPr>
          <w:p w14:paraId="68DD9AA9" w14:textId="77777777" w:rsidR="00AB6A88" w:rsidRPr="00535A4C" w:rsidRDefault="00AB6A88" w:rsidP="00A95881">
            <w:pPr>
              <w:pStyle w:val="BodyText"/>
              <w:ind w:firstLine="0"/>
              <w:jc w:val="center"/>
              <w:rPr>
                <w:lang w:val="en-GB" w:eastAsia="en-US"/>
              </w:rPr>
            </w:pPr>
            <w:r w:rsidRPr="00535A4C">
              <w:rPr>
                <w:sz w:val="22"/>
                <w:szCs w:val="22"/>
                <w:lang w:val="en-GB" w:eastAsia="en-US"/>
              </w:rPr>
              <w:t>30.89</w:t>
            </w:r>
          </w:p>
        </w:tc>
      </w:tr>
      <w:tr w:rsidR="00AB6A88" w:rsidRPr="00535A4C" w14:paraId="3EB55C9E" w14:textId="77777777" w:rsidTr="00FA35AC">
        <w:tc>
          <w:tcPr>
            <w:tcW w:w="0" w:type="auto"/>
            <w:tcBorders>
              <w:top w:val="nil"/>
              <w:left w:val="nil"/>
              <w:bottom w:val="nil"/>
              <w:right w:val="single" w:sz="4" w:space="0" w:color="FFFFFF"/>
            </w:tcBorders>
          </w:tcPr>
          <w:p w14:paraId="7E84F696" w14:textId="77777777" w:rsidR="00AB6A88" w:rsidRPr="00535A4C" w:rsidRDefault="00AB6A88" w:rsidP="00E8204B">
            <w:pPr>
              <w:pStyle w:val="BodyText"/>
              <w:ind w:firstLine="0"/>
              <w:jc w:val="both"/>
              <w:rPr>
                <w:lang w:val="en-GB" w:eastAsia="en-US"/>
              </w:rPr>
            </w:pPr>
            <w:r w:rsidRPr="00535A4C">
              <w:rPr>
                <w:sz w:val="22"/>
                <w:szCs w:val="22"/>
                <w:lang w:val="en-GB" w:eastAsia="en-US"/>
              </w:rPr>
              <w:t>EXP3*</w:t>
            </w:r>
          </w:p>
        </w:tc>
        <w:tc>
          <w:tcPr>
            <w:tcW w:w="0" w:type="auto"/>
            <w:tcBorders>
              <w:top w:val="nil"/>
              <w:left w:val="single" w:sz="4" w:space="0" w:color="FFFFFF"/>
              <w:bottom w:val="nil"/>
              <w:right w:val="nil"/>
            </w:tcBorders>
          </w:tcPr>
          <w:p w14:paraId="4DF4E25C" w14:textId="77777777" w:rsidR="00AB6A88" w:rsidRPr="00535A4C" w:rsidRDefault="00AB6A88" w:rsidP="00A95881">
            <w:pPr>
              <w:pStyle w:val="BodyText"/>
              <w:ind w:firstLine="0"/>
              <w:jc w:val="center"/>
              <w:rPr>
                <w:lang w:val="en-GB" w:eastAsia="en-US"/>
              </w:rPr>
            </w:pPr>
            <w:r w:rsidRPr="00535A4C">
              <w:rPr>
                <w:sz w:val="22"/>
                <w:szCs w:val="22"/>
                <w:lang w:val="en-GB" w:eastAsia="en-US"/>
              </w:rPr>
              <w:t>0.136</w:t>
            </w:r>
          </w:p>
        </w:tc>
        <w:tc>
          <w:tcPr>
            <w:tcW w:w="0" w:type="auto"/>
            <w:tcBorders>
              <w:top w:val="nil"/>
              <w:left w:val="nil"/>
              <w:bottom w:val="nil"/>
              <w:right w:val="nil"/>
            </w:tcBorders>
          </w:tcPr>
          <w:p w14:paraId="469CC5A7" w14:textId="77777777" w:rsidR="00AB6A88" w:rsidRPr="00535A4C" w:rsidRDefault="00AB6A88" w:rsidP="00A95881">
            <w:pPr>
              <w:pStyle w:val="BodyText"/>
              <w:ind w:firstLine="0"/>
              <w:jc w:val="center"/>
              <w:rPr>
                <w:lang w:val="en-GB" w:eastAsia="en-US"/>
              </w:rPr>
            </w:pPr>
            <w:r w:rsidRPr="00535A4C">
              <w:rPr>
                <w:sz w:val="22"/>
                <w:szCs w:val="22"/>
                <w:lang w:val="en-GB" w:eastAsia="en-US"/>
              </w:rPr>
              <w:t>10.39</w:t>
            </w:r>
          </w:p>
        </w:tc>
        <w:tc>
          <w:tcPr>
            <w:tcW w:w="0" w:type="auto"/>
            <w:tcBorders>
              <w:top w:val="nil"/>
              <w:left w:val="nil"/>
              <w:bottom w:val="nil"/>
              <w:right w:val="nil"/>
            </w:tcBorders>
          </w:tcPr>
          <w:p w14:paraId="07577688" w14:textId="77777777" w:rsidR="00AB6A88" w:rsidRPr="00535A4C" w:rsidRDefault="00AB6A88" w:rsidP="00A95881">
            <w:pPr>
              <w:pStyle w:val="BodyText"/>
              <w:ind w:firstLine="0"/>
              <w:jc w:val="center"/>
              <w:rPr>
                <w:lang w:val="en-GB" w:eastAsia="en-US"/>
              </w:rPr>
            </w:pPr>
            <w:r w:rsidRPr="00535A4C">
              <w:rPr>
                <w:sz w:val="22"/>
                <w:szCs w:val="22"/>
                <w:lang w:val="en-GB" w:eastAsia="en-US"/>
              </w:rPr>
              <w:t>1.56</w:t>
            </w:r>
          </w:p>
        </w:tc>
        <w:tc>
          <w:tcPr>
            <w:tcW w:w="0" w:type="auto"/>
            <w:tcBorders>
              <w:top w:val="nil"/>
              <w:left w:val="nil"/>
              <w:bottom w:val="nil"/>
              <w:right w:val="nil"/>
            </w:tcBorders>
          </w:tcPr>
          <w:p w14:paraId="416AF13C" w14:textId="77777777" w:rsidR="00AB6A88" w:rsidRPr="00535A4C" w:rsidRDefault="00AB6A88" w:rsidP="00A95881">
            <w:pPr>
              <w:pStyle w:val="BodyText"/>
              <w:ind w:firstLine="0"/>
              <w:jc w:val="center"/>
              <w:rPr>
                <w:lang w:val="en-GB" w:eastAsia="en-US"/>
              </w:rPr>
            </w:pPr>
            <w:r w:rsidRPr="00535A4C">
              <w:rPr>
                <w:sz w:val="22"/>
                <w:szCs w:val="22"/>
                <w:lang w:val="en-GB" w:eastAsia="en-US"/>
              </w:rPr>
              <w:t>32.45</w:t>
            </w:r>
          </w:p>
        </w:tc>
      </w:tr>
      <w:tr w:rsidR="00AB6A88" w:rsidRPr="00535A4C" w14:paraId="6850FBA2" w14:textId="77777777" w:rsidTr="00FA35AC">
        <w:tc>
          <w:tcPr>
            <w:tcW w:w="0" w:type="auto"/>
            <w:tcBorders>
              <w:top w:val="nil"/>
              <w:left w:val="nil"/>
              <w:bottom w:val="single" w:sz="4" w:space="0" w:color="000000"/>
              <w:right w:val="single" w:sz="4" w:space="0" w:color="FFFFFF"/>
            </w:tcBorders>
          </w:tcPr>
          <w:p w14:paraId="4EAF00B9" w14:textId="77777777" w:rsidR="00AB6A88" w:rsidRPr="00535A4C" w:rsidRDefault="00AB6A88" w:rsidP="00E8204B">
            <w:pPr>
              <w:pStyle w:val="BodyText"/>
              <w:ind w:firstLine="0"/>
              <w:jc w:val="both"/>
              <w:rPr>
                <w:lang w:val="en-GB" w:eastAsia="en-US"/>
              </w:rPr>
            </w:pPr>
            <w:r w:rsidRPr="00535A4C">
              <w:rPr>
                <w:sz w:val="22"/>
                <w:szCs w:val="22"/>
                <w:lang w:val="en-GB" w:eastAsia="en-US"/>
              </w:rPr>
              <w:t>PPG*</w:t>
            </w:r>
          </w:p>
        </w:tc>
        <w:tc>
          <w:tcPr>
            <w:tcW w:w="0" w:type="auto"/>
            <w:tcBorders>
              <w:top w:val="nil"/>
              <w:left w:val="single" w:sz="4" w:space="0" w:color="FFFFFF"/>
              <w:bottom w:val="single" w:sz="4" w:space="0" w:color="000000"/>
              <w:right w:val="nil"/>
            </w:tcBorders>
          </w:tcPr>
          <w:p w14:paraId="2ABBA58E" w14:textId="77777777" w:rsidR="00AB6A88" w:rsidRPr="00535A4C" w:rsidRDefault="00AB6A88" w:rsidP="00A95881">
            <w:pPr>
              <w:pStyle w:val="BodyText"/>
              <w:ind w:firstLine="0"/>
              <w:jc w:val="center"/>
              <w:rPr>
                <w:lang w:val="en-GB" w:eastAsia="en-US"/>
              </w:rPr>
            </w:pPr>
            <w:r w:rsidRPr="00535A4C">
              <w:rPr>
                <w:sz w:val="22"/>
                <w:szCs w:val="22"/>
                <w:lang w:val="en-GB" w:eastAsia="en-US"/>
              </w:rPr>
              <w:t>0.136</w:t>
            </w:r>
          </w:p>
        </w:tc>
        <w:tc>
          <w:tcPr>
            <w:tcW w:w="0" w:type="auto"/>
            <w:tcBorders>
              <w:top w:val="nil"/>
              <w:left w:val="nil"/>
              <w:bottom w:val="single" w:sz="4" w:space="0" w:color="000000"/>
              <w:right w:val="nil"/>
            </w:tcBorders>
          </w:tcPr>
          <w:p w14:paraId="7BCB0516" w14:textId="77777777" w:rsidR="00AB6A88" w:rsidRPr="00535A4C" w:rsidRDefault="00AB6A88" w:rsidP="00A95881">
            <w:pPr>
              <w:pStyle w:val="BodyText"/>
              <w:ind w:firstLine="0"/>
              <w:jc w:val="center"/>
              <w:rPr>
                <w:lang w:val="en-GB" w:eastAsia="en-US"/>
              </w:rPr>
            </w:pPr>
            <w:r w:rsidRPr="00535A4C">
              <w:rPr>
                <w:sz w:val="22"/>
                <w:szCs w:val="22"/>
                <w:lang w:val="en-GB" w:eastAsia="en-US"/>
              </w:rPr>
              <w:t>10.05</w:t>
            </w:r>
          </w:p>
        </w:tc>
        <w:tc>
          <w:tcPr>
            <w:tcW w:w="0" w:type="auto"/>
            <w:tcBorders>
              <w:top w:val="nil"/>
              <w:left w:val="nil"/>
              <w:bottom w:val="single" w:sz="4" w:space="0" w:color="000000"/>
              <w:right w:val="nil"/>
            </w:tcBorders>
          </w:tcPr>
          <w:p w14:paraId="368F084A" w14:textId="77777777" w:rsidR="00AB6A88" w:rsidRPr="00535A4C" w:rsidRDefault="00AB6A88" w:rsidP="00A95881">
            <w:pPr>
              <w:pStyle w:val="BodyText"/>
              <w:ind w:firstLine="0"/>
              <w:jc w:val="center"/>
              <w:rPr>
                <w:lang w:val="en-GB" w:eastAsia="en-US"/>
              </w:rPr>
            </w:pPr>
            <w:r w:rsidRPr="00535A4C">
              <w:rPr>
                <w:sz w:val="22"/>
                <w:szCs w:val="22"/>
                <w:lang w:val="en-GB" w:eastAsia="en-US"/>
              </w:rPr>
              <w:t>1.50</w:t>
            </w:r>
          </w:p>
        </w:tc>
        <w:tc>
          <w:tcPr>
            <w:tcW w:w="0" w:type="auto"/>
            <w:tcBorders>
              <w:top w:val="nil"/>
              <w:left w:val="nil"/>
              <w:bottom w:val="single" w:sz="4" w:space="0" w:color="000000"/>
              <w:right w:val="nil"/>
            </w:tcBorders>
          </w:tcPr>
          <w:p w14:paraId="283DDCEB" w14:textId="77777777" w:rsidR="00AB6A88" w:rsidRPr="00535A4C" w:rsidRDefault="00AB6A88" w:rsidP="00A95881">
            <w:pPr>
              <w:pStyle w:val="BodyText"/>
              <w:ind w:firstLine="0"/>
              <w:jc w:val="center"/>
              <w:rPr>
                <w:lang w:val="en-GB" w:eastAsia="en-US"/>
              </w:rPr>
            </w:pPr>
            <w:r w:rsidRPr="00535A4C">
              <w:rPr>
                <w:sz w:val="22"/>
                <w:szCs w:val="22"/>
                <w:lang w:val="en-GB" w:eastAsia="en-US"/>
              </w:rPr>
              <w:t>33.95</w:t>
            </w:r>
          </w:p>
        </w:tc>
      </w:tr>
    </w:tbl>
    <w:p w14:paraId="05D27502" w14:textId="77777777" w:rsidR="00AB6A88" w:rsidRPr="00535A4C" w:rsidRDefault="00AB6A88" w:rsidP="00E8204B">
      <w:pPr>
        <w:pStyle w:val="BodyText"/>
        <w:ind w:firstLine="0"/>
        <w:jc w:val="both"/>
        <w:rPr>
          <w:sz w:val="22"/>
          <w:szCs w:val="22"/>
          <w:lang w:val="en-GB"/>
        </w:rPr>
      </w:pPr>
      <w:r w:rsidRPr="00535A4C">
        <w:rPr>
          <w:sz w:val="22"/>
          <w:szCs w:val="22"/>
          <w:lang w:val="en-GB"/>
        </w:rPr>
        <w:t>Source: Author’s calculation</w:t>
      </w:r>
      <w:r w:rsidR="00CF04F9">
        <w:rPr>
          <w:sz w:val="22"/>
          <w:szCs w:val="22"/>
          <w:lang w:val="en-GB"/>
        </w:rPr>
        <w:t>s</w:t>
      </w:r>
    </w:p>
    <w:p w14:paraId="75DF8A91" w14:textId="77777777" w:rsidR="00AB6A88" w:rsidRPr="00535A4C" w:rsidRDefault="00AB6A88" w:rsidP="00A95881">
      <w:pPr>
        <w:pStyle w:val="TableNotes"/>
        <w:jc w:val="both"/>
      </w:pPr>
      <w:r w:rsidRPr="00535A4C">
        <w:t xml:space="preserve">Notes.  * </w:t>
      </w:r>
      <w:proofErr w:type="gramStart"/>
      <w:r w:rsidRPr="00535A4C">
        <w:t>patterns</w:t>
      </w:r>
      <w:proofErr w:type="gramEnd"/>
      <w:r w:rsidRPr="00535A4C">
        <w:t xml:space="preserve"> significantly (p &lt; .05)   different from Monte Carlo (1000) simulated red noise </w:t>
      </w:r>
    </w:p>
    <w:p w14:paraId="1BD3C966" w14:textId="77777777" w:rsidR="00AB6A88" w:rsidRPr="00535A4C" w:rsidRDefault="007F6BCC" w:rsidP="00E8204B">
      <w:pPr>
        <w:pStyle w:val="BodyText"/>
        <w:jc w:val="both"/>
        <w:rPr>
          <w:lang w:val="en-GB"/>
        </w:rPr>
      </w:pPr>
      <w:r>
        <w:rPr>
          <w:lang w:val="en-GB"/>
        </w:rPr>
        <w:t xml:space="preserve">Table 2 confirms </w:t>
      </w:r>
      <w:r w:rsidR="00CB0F6A">
        <w:rPr>
          <w:lang w:val="en-GB"/>
        </w:rPr>
        <w:t xml:space="preserve">the </w:t>
      </w:r>
      <w:r w:rsidR="00AB6A88" w:rsidRPr="00535A4C">
        <w:rPr>
          <w:lang w:val="en-GB"/>
        </w:rPr>
        <w:t>multiva</w:t>
      </w:r>
      <w:r w:rsidR="00F30FA0">
        <w:rPr>
          <w:lang w:val="en-GB"/>
        </w:rPr>
        <w:t xml:space="preserve">riate and complex nature of Gibson’s </w:t>
      </w:r>
      <w:r w:rsidR="00AB6A88" w:rsidRPr="00535A4C">
        <w:rPr>
          <w:lang w:val="en-GB"/>
        </w:rPr>
        <w:t xml:space="preserve">paradox (see </w:t>
      </w:r>
      <w:r w:rsidR="00CB0F6A">
        <w:rPr>
          <w:lang w:val="en-GB"/>
        </w:rPr>
        <w:t xml:space="preserve">also Figure 9). Of the 15 spectral components, 4 </w:t>
      </w:r>
      <w:r w:rsidR="00F30FA0">
        <w:rPr>
          <w:lang w:val="en-GB"/>
        </w:rPr>
        <w:t>eigenvalue</w:t>
      </w:r>
      <w:r w:rsidR="00AB6A88" w:rsidRPr="00535A4C">
        <w:rPr>
          <w:lang w:val="en-GB"/>
        </w:rPr>
        <w:t xml:space="preserve"> pairs passed the Monte Carlo test. </w:t>
      </w:r>
      <w:r w:rsidR="00CB0F6A">
        <w:rPr>
          <w:lang w:val="en-GB"/>
        </w:rPr>
        <w:t xml:space="preserve">The price level </w:t>
      </w:r>
      <w:r w:rsidR="00AB6A88" w:rsidRPr="00535A4C">
        <w:rPr>
          <w:lang w:val="en-GB"/>
        </w:rPr>
        <w:t xml:space="preserve">(LCPI) and unemployment (UN) eigenvalue pair is only weakly significant with eigenvalues </w:t>
      </w:r>
      <w:r w:rsidR="00CB0F6A">
        <w:rPr>
          <w:lang w:val="en-GB"/>
        </w:rPr>
        <w:t xml:space="preserve">towards the </w:t>
      </w:r>
      <w:r w:rsidR="00AB6A88" w:rsidRPr="00535A4C">
        <w:rPr>
          <w:lang w:val="en-GB"/>
        </w:rPr>
        <w:t xml:space="preserve">upper </w:t>
      </w:r>
      <w:r w:rsidR="00CB0F6A">
        <w:rPr>
          <w:lang w:val="en-GB"/>
        </w:rPr>
        <w:t>bounds o</w:t>
      </w:r>
      <w:r w:rsidR="00AB6A88" w:rsidRPr="00535A4C">
        <w:rPr>
          <w:lang w:val="en-GB"/>
        </w:rPr>
        <w:t xml:space="preserve">f the confidence </w:t>
      </w:r>
      <w:r w:rsidR="00CB0F6A">
        <w:rPr>
          <w:lang w:val="en-GB"/>
        </w:rPr>
        <w:t>interval</w:t>
      </w:r>
      <w:r w:rsidR="00AB6A88" w:rsidRPr="00535A4C">
        <w:rPr>
          <w:lang w:val="en-GB"/>
        </w:rPr>
        <w:t>. Autoregressive</w:t>
      </w:r>
      <w:r w:rsidR="00CB0F6A">
        <w:rPr>
          <w:lang w:val="en-GB"/>
        </w:rPr>
        <w:t xml:space="preserve"> (long memory) movements in </w:t>
      </w:r>
      <w:r w:rsidR="00AB6A88" w:rsidRPr="00535A4C">
        <w:rPr>
          <w:lang w:val="en-GB"/>
        </w:rPr>
        <w:t>bond yields explain 9.18% (partial va</w:t>
      </w:r>
      <w:r w:rsidR="00CB0F6A">
        <w:rPr>
          <w:lang w:val="en-GB"/>
        </w:rPr>
        <w:t>riance) of the total variance. The p</w:t>
      </w:r>
      <w:r w:rsidR="00AB6A88" w:rsidRPr="00535A4C">
        <w:rPr>
          <w:lang w:val="en-GB"/>
        </w:rPr>
        <w:t>airs EXPSTIR and RO</w:t>
      </w:r>
      <w:r w:rsidR="00E23081">
        <w:rPr>
          <w:lang w:val="en-GB"/>
        </w:rPr>
        <w:t xml:space="preserve">RK2 account for </w:t>
      </w:r>
      <w:r w:rsidR="00CB0F6A">
        <w:rPr>
          <w:lang w:val="en-GB"/>
        </w:rPr>
        <w:t>3.81% of the total variance</w:t>
      </w:r>
      <w:r w:rsidR="00E23081">
        <w:rPr>
          <w:lang w:val="en-GB"/>
        </w:rPr>
        <w:t xml:space="preserve"> of the series</w:t>
      </w:r>
      <w:r w:rsidR="00CB0F6A">
        <w:rPr>
          <w:lang w:val="en-GB"/>
        </w:rPr>
        <w:t>. S</w:t>
      </w:r>
      <w:r w:rsidR="00AB6A88" w:rsidRPr="00535A4C">
        <w:rPr>
          <w:lang w:val="en-GB"/>
        </w:rPr>
        <w:t>hort-term interest rates and return</w:t>
      </w:r>
      <w:r w:rsidR="00966BE7" w:rsidRPr="00535A4C">
        <w:rPr>
          <w:lang w:val="en-GB"/>
        </w:rPr>
        <w:t>s</w:t>
      </w:r>
      <w:r w:rsidR="00AB6A88" w:rsidRPr="00535A4C">
        <w:rPr>
          <w:lang w:val="en-GB"/>
        </w:rPr>
        <w:t xml:space="preserve"> on capital </w:t>
      </w:r>
      <w:r w:rsidR="00966BE7" w:rsidRPr="00535A4C">
        <w:rPr>
          <w:lang w:val="en-GB"/>
        </w:rPr>
        <w:t>are</w:t>
      </w:r>
      <w:r w:rsidR="00CB0F6A">
        <w:rPr>
          <w:lang w:val="en-GB"/>
        </w:rPr>
        <w:t xml:space="preserve"> clearly distinguishable </w:t>
      </w:r>
      <w:r w:rsidR="00AB6A88" w:rsidRPr="00535A4C">
        <w:rPr>
          <w:lang w:val="en-GB"/>
        </w:rPr>
        <w:t xml:space="preserve">from the </w:t>
      </w:r>
      <w:proofErr w:type="gramStart"/>
      <w:r w:rsidR="00AB6A88" w:rsidRPr="00535A4C">
        <w:rPr>
          <w:lang w:val="en-GB"/>
        </w:rPr>
        <w:t>AR(</w:t>
      </w:r>
      <w:proofErr w:type="gramEnd"/>
      <w:r w:rsidR="00AB6A88" w:rsidRPr="00535A4C">
        <w:rPr>
          <w:lang w:val="en-GB"/>
        </w:rPr>
        <w:t xml:space="preserve">1) red noise process. </w:t>
      </w:r>
      <w:r w:rsidR="00E23081">
        <w:rPr>
          <w:lang w:val="en-GB"/>
        </w:rPr>
        <w:t xml:space="preserve">The </w:t>
      </w:r>
      <w:r w:rsidR="00AB6A88" w:rsidRPr="00535A4C">
        <w:rPr>
          <w:lang w:val="en-GB"/>
        </w:rPr>
        <w:t xml:space="preserve">DEBT and GOLDSIL eigenvalue pair </w:t>
      </w:r>
      <w:r w:rsidR="00E23081">
        <w:rPr>
          <w:lang w:val="en-GB"/>
        </w:rPr>
        <w:t xml:space="preserve">instead </w:t>
      </w:r>
      <w:r w:rsidR="00AB6A88" w:rsidRPr="00535A4C">
        <w:rPr>
          <w:lang w:val="en-GB"/>
        </w:rPr>
        <w:t>fail to pass a red noise Monte Carlo test (</w:t>
      </w:r>
      <w:r w:rsidR="00E23081">
        <w:rPr>
          <w:lang w:val="en-GB"/>
        </w:rPr>
        <w:t xml:space="preserve">i.e., they are not </w:t>
      </w:r>
      <w:r w:rsidR="00AB6A88" w:rsidRPr="00535A4C">
        <w:rPr>
          <w:lang w:val="en-GB"/>
        </w:rPr>
        <w:t>significant</w:t>
      </w:r>
      <w:r w:rsidR="00E23081">
        <w:rPr>
          <w:lang w:val="en-GB"/>
        </w:rPr>
        <w:t>ly d</w:t>
      </w:r>
      <w:r w:rsidR="00AB6A88" w:rsidRPr="00535A4C">
        <w:rPr>
          <w:lang w:val="en-GB"/>
        </w:rPr>
        <w:t>iffer</w:t>
      </w:r>
      <w:r w:rsidR="00E23081">
        <w:rPr>
          <w:lang w:val="en-GB"/>
        </w:rPr>
        <w:t xml:space="preserve">ent from the red noise), and the </w:t>
      </w:r>
      <w:r w:rsidR="00AB6A88" w:rsidRPr="00535A4C">
        <w:rPr>
          <w:lang w:val="en-GB"/>
        </w:rPr>
        <w:t xml:space="preserve">same holds for </w:t>
      </w:r>
      <w:r w:rsidR="00E23081">
        <w:rPr>
          <w:lang w:val="en-GB"/>
        </w:rPr>
        <w:t xml:space="preserve">the </w:t>
      </w:r>
      <w:r w:rsidR="00AB6A88" w:rsidRPr="00535A4C">
        <w:rPr>
          <w:lang w:val="en-GB"/>
        </w:rPr>
        <w:t xml:space="preserve">VOL and TURNOVER eigenvalue pair. </w:t>
      </w:r>
      <w:r w:rsidR="00E23081">
        <w:rPr>
          <w:lang w:val="en-GB"/>
        </w:rPr>
        <w:t>The other pairs (</w:t>
      </w:r>
      <w:r w:rsidR="00AB6A88" w:rsidRPr="00535A4C">
        <w:rPr>
          <w:lang w:val="en-GB"/>
        </w:rPr>
        <w:t>M1 and EXPP</w:t>
      </w:r>
      <w:r w:rsidR="00E23081">
        <w:rPr>
          <w:lang w:val="en-GB"/>
        </w:rPr>
        <w:t xml:space="preserve">; </w:t>
      </w:r>
      <w:r w:rsidR="00E23081" w:rsidRPr="00E23081">
        <w:rPr>
          <w:lang w:val="en-GB"/>
        </w:rPr>
        <w:t>DR and NIR6</w:t>
      </w:r>
      <w:r w:rsidR="00E23081">
        <w:rPr>
          <w:lang w:val="en-GB"/>
        </w:rPr>
        <w:t xml:space="preserve">; </w:t>
      </w:r>
      <w:r w:rsidR="00E23081" w:rsidRPr="00E23081">
        <w:rPr>
          <w:lang w:val="en-GB"/>
        </w:rPr>
        <w:t>EXP3 and PPG</w:t>
      </w:r>
      <w:r w:rsidR="00E23081">
        <w:rPr>
          <w:lang w:val="en-GB"/>
        </w:rPr>
        <w:t xml:space="preserve">) capture 3.29%, </w:t>
      </w:r>
      <w:r w:rsidR="00AB6A88" w:rsidRPr="00535A4C">
        <w:rPr>
          <w:lang w:val="en-GB"/>
        </w:rPr>
        <w:t xml:space="preserve">3.16% </w:t>
      </w:r>
      <w:r w:rsidR="00E23081">
        <w:rPr>
          <w:lang w:val="en-GB"/>
        </w:rPr>
        <w:t xml:space="preserve">and </w:t>
      </w:r>
      <w:r w:rsidR="00AB6A88" w:rsidRPr="00535A4C">
        <w:rPr>
          <w:lang w:val="en-GB"/>
        </w:rPr>
        <w:t xml:space="preserve">3.06% </w:t>
      </w:r>
      <w:r w:rsidR="00E23081">
        <w:rPr>
          <w:lang w:val="en-GB"/>
        </w:rPr>
        <w:t xml:space="preserve">respectively of the total variance and in all cases are significantly different from the simulated </w:t>
      </w:r>
      <w:r w:rsidR="00AB6A88" w:rsidRPr="00535A4C">
        <w:rPr>
          <w:lang w:val="en-GB"/>
        </w:rPr>
        <w:t xml:space="preserve">red noise at </w:t>
      </w:r>
      <w:r w:rsidR="00E23081">
        <w:rPr>
          <w:lang w:val="en-GB"/>
        </w:rPr>
        <w:t>the 95% confidence level.</w:t>
      </w:r>
    </w:p>
    <w:p w14:paraId="26E2171D" w14:textId="77777777" w:rsidR="00AB6A88" w:rsidRPr="00535A4C" w:rsidRDefault="00AB6A88" w:rsidP="00E8204B">
      <w:pPr>
        <w:pStyle w:val="TableNotes"/>
        <w:jc w:val="both"/>
        <w:rPr>
          <w:sz w:val="24"/>
        </w:rPr>
      </w:pPr>
    </w:p>
    <w:p w14:paraId="4A9D6AD5" w14:textId="77777777" w:rsidR="00A95881" w:rsidRPr="00E23081" w:rsidRDefault="00A95881" w:rsidP="00A95881">
      <w:pPr>
        <w:pStyle w:val="FigureCaptionLabel"/>
        <w:rPr>
          <w:b/>
          <w:i w:val="0"/>
        </w:rPr>
      </w:pPr>
      <w:r w:rsidRPr="00E23081">
        <w:rPr>
          <w:b/>
          <w:i w:val="0"/>
        </w:rPr>
        <w:t>Insert Figure 9 around here</w:t>
      </w:r>
    </w:p>
    <w:p w14:paraId="1418492B" w14:textId="77777777" w:rsidR="007B26A3" w:rsidRDefault="007B26A3" w:rsidP="00E8204B">
      <w:pPr>
        <w:pStyle w:val="BodyText"/>
        <w:jc w:val="both"/>
        <w:rPr>
          <w:b/>
          <w:color w:val="FF0000"/>
          <w:lang w:val="en-GB"/>
        </w:rPr>
      </w:pPr>
    </w:p>
    <w:p w14:paraId="02BBBDA8" w14:textId="77777777" w:rsidR="00AB6A88" w:rsidRPr="00535A4C" w:rsidRDefault="00AB6A88" w:rsidP="00E8204B">
      <w:pPr>
        <w:pStyle w:val="BodyText"/>
        <w:jc w:val="both"/>
        <w:rPr>
          <w:lang w:val="en-GB"/>
        </w:rPr>
      </w:pPr>
      <w:r w:rsidRPr="005A5B4E">
        <w:rPr>
          <w:lang w:val="en-GB"/>
        </w:rPr>
        <w:t xml:space="preserve">LCPI and UN </w:t>
      </w:r>
      <w:r w:rsidR="007B26A3" w:rsidRPr="005A5B4E">
        <w:rPr>
          <w:lang w:val="en-GB"/>
        </w:rPr>
        <w:t>are not statistically</w:t>
      </w:r>
      <w:r w:rsidR="007B26A3">
        <w:rPr>
          <w:b/>
          <w:color w:val="FF0000"/>
          <w:lang w:val="en-GB"/>
        </w:rPr>
        <w:t xml:space="preserve"> </w:t>
      </w:r>
      <w:r w:rsidR="005A5B4E">
        <w:rPr>
          <w:lang w:val="en-GB"/>
        </w:rPr>
        <w:t>suggesting</w:t>
      </w:r>
      <w:r w:rsidR="00472B35">
        <w:rPr>
          <w:lang w:val="en-GB"/>
        </w:rPr>
        <w:t xml:space="preserve"> that some </w:t>
      </w:r>
      <w:r w:rsidRPr="00535A4C">
        <w:rPr>
          <w:lang w:val="en-GB"/>
        </w:rPr>
        <w:t xml:space="preserve">important oscillatory components </w:t>
      </w:r>
      <w:r w:rsidR="00472B35">
        <w:rPr>
          <w:lang w:val="en-GB"/>
        </w:rPr>
        <w:t xml:space="preserve">might have been left out; therefore, an </w:t>
      </w:r>
      <w:r w:rsidRPr="00535A4C">
        <w:rPr>
          <w:lang w:val="en-GB"/>
        </w:rPr>
        <w:t xml:space="preserve">MSSA model </w:t>
      </w:r>
      <w:r w:rsidR="00472B35">
        <w:rPr>
          <w:lang w:val="en-GB"/>
        </w:rPr>
        <w:t xml:space="preserve">with a </w:t>
      </w:r>
      <w:r w:rsidRPr="00535A4C">
        <w:rPr>
          <w:lang w:val="en-GB"/>
        </w:rPr>
        <w:t xml:space="preserve">different windows </w:t>
      </w:r>
      <w:r w:rsidR="00472B35">
        <w:rPr>
          <w:lang w:val="en-GB"/>
        </w:rPr>
        <w:t xml:space="preserve">size </w:t>
      </w:r>
      <w:r w:rsidRPr="00535A4C">
        <w:rPr>
          <w:lang w:val="en-GB"/>
        </w:rPr>
        <w:t xml:space="preserve">(m=100) </w:t>
      </w:r>
      <w:r w:rsidR="00472B35">
        <w:rPr>
          <w:lang w:val="en-GB"/>
        </w:rPr>
        <w:t xml:space="preserve">is also estimated </w:t>
      </w:r>
      <w:r w:rsidRPr="00535A4C">
        <w:rPr>
          <w:lang w:val="en-GB"/>
        </w:rPr>
        <w:t xml:space="preserve">following </w:t>
      </w:r>
      <w:r w:rsidRPr="00535A4C">
        <w:rPr>
          <w:lang w:val="en-GB"/>
        </w:rPr>
        <w:fldChar w:fldCharType="begin"/>
      </w:r>
      <w:r w:rsidR="00C57097" w:rsidRPr="00535A4C">
        <w:rPr>
          <w:lang w:val="en-GB"/>
        </w:rPr>
        <w:instrText xml:space="preserve"> ADDIN PAPERS2_CITATIONS &lt;citation&gt;&lt;uuid&gt;50A9A2E2-EA5A-4E04-A840-AB2E78D908DD&lt;/uuid&gt;&lt;priority&gt;56&lt;/priority&gt;&lt;publications&gt;&lt;publication&gt;&lt;uuid&gt;C06EFC7D-9A0D-48C5-A536-5287F74771AE&lt;/uuid&gt;&lt;publication_date&gt;99201000001200000000200000&lt;/publication_date&gt;&lt;title&gt;Analysis of time series structure: SSA and related techniques&lt;/title&gt;&lt;type&gt;0&lt;/type&gt;&lt;subtype&gt;0&lt;/subtype&gt;&lt;publisher&gt;CRC Press&lt;/publisher&gt;&lt;authors&gt;&lt;author&gt;&lt;firstName&gt;Nina&lt;/firstName&gt;&lt;lastName&gt;Golyandina&lt;/lastName&gt;&lt;/author&gt;&lt;author&gt;&lt;firstName&gt;Vladimir&lt;/firstName&gt;&lt;lastName&gt;Nekrutkin&lt;/lastName&gt;&lt;/author&gt;&lt;author&gt;&lt;firstName&gt;Anatoly&lt;/firstName&gt;&lt;middleNames&gt;A&lt;/middleNames&gt;&lt;lastName&gt;Zhigljavsky&lt;/lastName&gt;&lt;/author&gt;&lt;/authors&gt;&lt;/publication&gt;&lt;/publications&gt;&lt;cites&gt;&lt;/cites&gt;&lt;/citation&gt;</w:instrText>
      </w:r>
      <w:r w:rsidRPr="00535A4C">
        <w:rPr>
          <w:lang w:val="en-GB"/>
        </w:rPr>
        <w:fldChar w:fldCharType="separate"/>
      </w:r>
      <w:r w:rsidRPr="00535A4C">
        <w:rPr>
          <w:lang w:val="en-GB"/>
        </w:rPr>
        <w:t xml:space="preserve">Golyandina et al. </w:t>
      </w:r>
      <w:r w:rsidR="008D00E5">
        <w:rPr>
          <w:lang w:val="en-GB"/>
        </w:rPr>
        <w:t>(</w:t>
      </w:r>
      <w:r w:rsidRPr="00535A4C">
        <w:rPr>
          <w:lang w:val="en-GB"/>
        </w:rPr>
        <w:t>2010)</w:t>
      </w:r>
      <w:r w:rsidRPr="00535A4C">
        <w:rPr>
          <w:lang w:val="en-GB"/>
        </w:rPr>
        <w:fldChar w:fldCharType="end"/>
      </w:r>
      <w:r w:rsidRPr="00535A4C">
        <w:rPr>
          <w:lang w:val="en-GB"/>
        </w:rPr>
        <w:t xml:space="preserve"> an</w:t>
      </w:r>
      <w:r w:rsidR="00472B35">
        <w:rPr>
          <w:lang w:val="en-GB"/>
        </w:rPr>
        <w:t>d the general rule m=N/2</w:t>
      </w:r>
      <w:r w:rsidR="00D40D75">
        <w:rPr>
          <w:lang w:val="en-GB"/>
        </w:rPr>
        <w:t>. As expe</w:t>
      </w:r>
      <w:r w:rsidRPr="00535A4C">
        <w:rPr>
          <w:lang w:val="en-GB"/>
        </w:rPr>
        <w:t xml:space="preserve">cted, </w:t>
      </w:r>
      <w:r w:rsidR="000224E0" w:rsidRPr="00535A4C">
        <w:rPr>
          <w:lang w:val="en-GB"/>
        </w:rPr>
        <w:t>choos</w:t>
      </w:r>
      <w:r w:rsidRPr="00535A4C">
        <w:rPr>
          <w:lang w:val="en-GB"/>
        </w:rPr>
        <w:t xml:space="preserve">ing </w:t>
      </w:r>
      <w:r w:rsidR="00D40D75">
        <w:rPr>
          <w:lang w:val="en-GB"/>
        </w:rPr>
        <w:t xml:space="preserve">a bigger </w:t>
      </w:r>
      <w:r w:rsidRPr="00535A4C">
        <w:rPr>
          <w:lang w:val="en-GB"/>
        </w:rPr>
        <w:t xml:space="preserve">window </w:t>
      </w:r>
      <w:r w:rsidR="00D40D75">
        <w:rPr>
          <w:lang w:val="en-GB"/>
        </w:rPr>
        <w:t xml:space="preserve">size </w:t>
      </w:r>
      <w:r w:rsidR="00472B35">
        <w:rPr>
          <w:lang w:val="en-GB"/>
        </w:rPr>
        <w:t xml:space="preserve">results in </w:t>
      </w:r>
      <w:r w:rsidRPr="00535A4C">
        <w:rPr>
          <w:lang w:val="en-GB"/>
        </w:rPr>
        <w:t xml:space="preserve">more </w:t>
      </w:r>
      <w:r w:rsidR="00472B35">
        <w:rPr>
          <w:lang w:val="en-GB"/>
        </w:rPr>
        <w:t>significant oscillatory patterns being identified (see F</w:t>
      </w:r>
      <w:r w:rsidRPr="00535A4C">
        <w:rPr>
          <w:lang w:val="en-GB"/>
        </w:rPr>
        <w:t xml:space="preserve">igure 10). </w:t>
      </w:r>
    </w:p>
    <w:p w14:paraId="776790FF" w14:textId="77777777" w:rsidR="00AB6A88" w:rsidRPr="00535A4C" w:rsidRDefault="00AB6A88" w:rsidP="00E8204B">
      <w:pPr>
        <w:pStyle w:val="Figuretitle"/>
        <w:jc w:val="both"/>
      </w:pPr>
    </w:p>
    <w:p w14:paraId="5B3284F8" w14:textId="77777777" w:rsidR="00A95881" w:rsidRPr="00472B35" w:rsidRDefault="00A95881" w:rsidP="00A95881">
      <w:pPr>
        <w:pStyle w:val="FigureCaptionLabel"/>
        <w:rPr>
          <w:b/>
          <w:i w:val="0"/>
        </w:rPr>
      </w:pPr>
      <w:r w:rsidRPr="00472B35">
        <w:rPr>
          <w:b/>
          <w:i w:val="0"/>
        </w:rPr>
        <w:lastRenderedPageBreak/>
        <w:t>Insert Figure 10 around here</w:t>
      </w:r>
    </w:p>
    <w:p w14:paraId="3C23F217" w14:textId="77777777" w:rsidR="00AB6A88" w:rsidRPr="00535A4C" w:rsidRDefault="00AB6A88" w:rsidP="00E8204B">
      <w:pPr>
        <w:pStyle w:val="BodyText"/>
        <w:jc w:val="both"/>
        <w:rPr>
          <w:lang w:val="en-GB"/>
        </w:rPr>
      </w:pPr>
    </w:p>
    <w:p w14:paraId="4A0B2795" w14:textId="77777777" w:rsidR="00AB6A88" w:rsidRPr="00535A4C" w:rsidRDefault="00472B35" w:rsidP="00E8204B">
      <w:pPr>
        <w:pStyle w:val="BodyText"/>
        <w:jc w:val="both"/>
        <w:rPr>
          <w:lang w:val="en-GB"/>
        </w:rPr>
      </w:pPr>
      <w:r>
        <w:rPr>
          <w:lang w:val="en-GB"/>
        </w:rPr>
        <w:t>B</w:t>
      </w:r>
      <w:r w:rsidR="00AB6A88" w:rsidRPr="00535A4C">
        <w:rPr>
          <w:lang w:val="en-GB"/>
        </w:rPr>
        <w:t xml:space="preserve">oth </w:t>
      </w:r>
      <w:r>
        <w:rPr>
          <w:lang w:val="en-GB"/>
        </w:rPr>
        <w:t xml:space="preserve">the </w:t>
      </w:r>
      <w:r w:rsidR="00D40D75">
        <w:rPr>
          <w:lang w:val="en-GB"/>
        </w:rPr>
        <w:t>LR and LCPI oscillations</w:t>
      </w:r>
      <w:r w:rsidR="00AB6A88" w:rsidRPr="00535A4C">
        <w:rPr>
          <w:lang w:val="en-GB"/>
        </w:rPr>
        <w:t xml:space="preserve"> </w:t>
      </w:r>
      <w:r>
        <w:rPr>
          <w:lang w:val="en-GB"/>
        </w:rPr>
        <w:t xml:space="preserve">now appear to be </w:t>
      </w:r>
      <w:r w:rsidR="00AB6A88" w:rsidRPr="00535A4C">
        <w:rPr>
          <w:lang w:val="en-GB"/>
        </w:rPr>
        <w:t>significant</w:t>
      </w:r>
      <w:r>
        <w:rPr>
          <w:lang w:val="en-GB"/>
        </w:rPr>
        <w:t>ly</w:t>
      </w:r>
      <w:r w:rsidR="00AB6A88" w:rsidRPr="00535A4C">
        <w:rPr>
          <w:lang w:val="en-GB"/>
        </w:rPr>
        <w:t xml:space="preserve"> different from the simulated red noise process. VOL and EXPSTIR are now wea</w:t>
      </w:r>
      <w:r>
        <w:rPr>
          <w:lang w:val="en-GB"/>
        </w:rPr>
        <w:t xml:space="preserve">kly significant, </w:t>
      </w:r>
      <w:r w:rsidR="00D40D75">
        <w:rPr>
          <w:lang w:val="en-GB"/>
        </w:rPr>
        <w:t xml:space="preserve">as are </w:t>
      </w:r>
      <w:r>
        <w:rPr>
          <w:lang w:val="en-GB"/>
        </w:rPr>
        <w:t xml:space="preserve">the </w:t>
      </w:r>
      <w:r w:rsidR="00AB6A88" w:rsidRPr="00535A4C">
        <w:rPr>
          <w:lang w:val="en-GB"/>
        </w:rPr>
        <w:t xml:space="preserve">other previously identified </w:t>
      </w:r>
      <w:r w:rsidR="000224E0" w:rsidRPr="00535A4C">
        <w:rPr>
          <w:lang w:val="en-GB"/>
        </w:rPr>
        <w:t>signific</w:t>
      </w:r>
      <w:r w:rsidR="00AB6A88" w:rsidRPr="00535A4C">
        <w:rPr>
          <w:lang w:val="en-GB"/>
        </w:rPr>
        <w:t>ant eigenvalues pairs</w:t>
      </w:r>
      <w:r>
        <w:rPr>
          <w:lang w:val="en-GB"/>
        </w:rPr>
        <w:t xml:space="preserve"> </w:t>
      </w:r>
      <w:r w:rsidR="00AB6A88" w:rsidRPr="00535A4C">
        <w:rPr>
          <w:lang w:val="en-GB"/>
        </w:rPr>
        <w:t>(</w:t>
      </w:r>
      <w:r>
        <w:rPr>
          <w:lang w:val="en-GB"/>
        </w:rPr>
        <w:t>implying rejection</w:t>
      </w:r>
      <w:r w:rsidR="00D40D75">
        <w:rPr>
          <w:lang w:val="en-GB"/>
        </w:rPr>
        <w:t>s</w:t>
      </w:r>
      <w:r>
        <w:rPr>
          <w:lang w:val="en-GB"/>
        </w:rPr>
        <w:t xml:space="preserve"> of the red noise null hypothesis), as can be seen from Table 3</w:t>
      </w:r>
      <w:r w:rsidR="00AB6A88" w:rsidRPr="00535A4C">
        <w:rPr>
          <w:lang w:val="en-GB"/>
        </w:rPr>
        <w:t>.</w:t>
      </w:r>
    </w:p>
    <w:p w14:paraId="28FA670E" w14:textId="77777777" w:rsidR="00AB6A88" w:rsidRPr="00535A4C" w:rsidRDefault="00472B35" w:rsidP="00A95881">
      <w:pPr>
        <w:pStyle w:val="BodyText"/>
        <w:jc w:val="both"/>
        <w:rPr>
          <w:lang w:val="en-GB"/>
        </w:rPr>
      </w:pPr>
      <w:r>
        <w:rPr>
          <w:lang w:val="en-GB"/>
        </w:rPr>
        <w:t xml:space="preserve">Estimating MSSA with different window sizes </w:t>
      </w:r>
      <w:r w:rsidR="00AB6A88" w:rsidRPr="00535A4C">
        <w:rPr>
          <w:lang w:val="en-GB"/>
        </w:rPr>
        <w:t>lead</w:t>
      </w:r>
      <w:r>
        <w:rPr>
          <w:lang w:val="en-GB"/>
        </w:rPr>
        <w:t>s</w:t>
      </w:r>
      <w:r w:rsidR="00AB6A88" w:rsidRPr="00535A4C">
        <w:rPr>
          <w:lang w:val="en-GB"/>
        </w:rPr>
        <w:t xml:space="preserve"> to the same conclusion. </w:t>
      </w:r>
      <w:r>
        <w:rPr>
          <w:lang w:val="en-GB"/>
        </w:rPr>
        <w:t xml:space="preserve">Overall, there is clear evidence that </w:t>
      </w:r>
      <w:r w:rsidR="00AB6A88" w:rsidRPr="00535A4C">
        <w:rPr>
          <w:lang w:val="en-GB"/>
        </w:rPr>
        <w:t>Gibson</w:t>
      </w:r>
      <w:r>
        <w:rPr>
          <w:lang w:val="en-GB"/>
        </w:rPr>
        <w:t>’s paradox in t</w:t>
      </w:r>
      <w:r w:rsidR="00AB6A88" w:rsidRPr="00535A4C">
        <w:rPr>
          <w:lang w:val="en-GB"/>
        </w:rPr>
        <w:t xml:space="preserve">he Netherlands is a multivariate phenomenon that can be explained by a large number of </w:t>
      </w:r>
      <w:r>
        <w:rPr>
          <w:lang w:val="en-GB"/>
        </w:rPr>
        <w:t>variables</w:t>
      </w:r>
      <w:r w:rsidR="00AB6A88" w:rsidRPr="00535A4C">
        <w:rPr>
          <w:lang w:val="en-GB"/>
        </w:rPr>
        <w:t>. Nine (9) PCA components (statistically significant eigenv</w:t>
      </w:r>
      <w:r w:rsidR="00966BE7" w:rsidRPr="00535A4C">
        <w:rPr>
          <w:lang w:val="en-GB"/>
        </w:rPr>
        <w:t>a</w:t>
      </w:r>
      <w:r w:rsidR="00AB6A88" w:rsidRPr="00535A4C">
        <w:rPr>
          <w:lang w:val="en-GB"/>
        </w:rPr>
        <w:t>lues) were identified with a</w:t>
      </w:r>
      <w:r w:rsidR="00966BE7" w:rsidRPr="00535A4C">
        <w:rPr>
          <w:lang w:val="en-GB"/>
        </w:rPr>
        <w:t>n</w:t>
      </w:r>
      <w:r w:rsidR="00AB6A88" w:rsidRPr="00535A4C">
        <w:rPr>
          <w:lang w:val="en-GB"/>
        </w:rPr>
        <w:t xml:space="preserve"> MSSA (m=100) model </w:t>
      </w:r>
      <w:r w:rsidR="00D40D75">
        <w:rPr>
          <w:lang w:val="en-GB"/>
        </w:rPr>
        <w:t xml:space="preserve">explaining </w:t>
      </w:r>
      <w:r w:rsidR="00AB6A88" w:rsidRPr="00535A4C">
        <w:rPr>
          <w:lang w:val="en-GB"/>
        </w:rPr>
        <w:t xml:space="preserve">34.58% of the total variance. </w:t>
      </w:r>
    </w:p>
    <w:p w14:paraId="29505B74" w14:textId="77777777" w:rsidR="00AB6A88" w:rsidRPr="00535A4C" w:rsidRDefault="00AB6A88" w:rsidP="00E8204B">
      <w:pPr>
        <w:pStyle w:val="BodyText"/>
        <w:ind w:firstLine="0"/>
        <w:jc w:val="both"/>
        <w:rPr>
          <w:lang w:val="en-GB"/>
        </w:rPr>
      </w:pPr>
      <w:r w:rsidRPr="00535A4C">
        <w:rPr>
          <w:lang w:val="en-GB"/>
        </w:rPr>
        <w:t>Table 3</w:t>
      </w:r>
    </w:p>
    <w:p w14:paraId="0AD1430A" w14:textId="77777777" w:rsidR="00AB6A88" w:rsidRPr="00535A4C" w:rsidRDefault="00AB6A88" w:rsidP="00E8204B">
      <w:pPr>
        <w:pStyle w:val="BodyText"/>
        <w:ind w:firstLine="0"/>
        <w:jc w:val="both"/>
        <w:rPr>
          <w:sz w:val="22"/>
          <w:szCs w:val="22"/>
          <w:lang w:val="en-GB"/>
        </w:rPr>
      </w:pPr>
      <w:r w:rsidRPr="00535A4C">
        <w:rPr>
          <w:i/>
          <w:sz w:val="22"/>
          <w:szCs w:val="22"/>
          <w:lang w:val="en-GB"/>
        </w:rPr>
        <w:t>Multivariate SSA: variable-based results (m=100)</w:t>
      </w:r>
    </w:p>
    <w:tbl>
      <w:tblPr>
        <w:tblW w:w="0" w:type="auto"/>
        <w:tblBorders>
          <w:top w:val="single" w:sz="12" w:space="0" w:color="000000"/>
          <w:bottom w:val="single" w:sz="12" w:space="0" w:color="000000"/>
        </w:tblBorders>
        <w:tblLook w:val="00A0" w:firstRow="1" w:lastRow="0" w:firstColumn="1" w:lastColumn="0" w:noHBand="0" w:noVBand="0"/>
      </w:tblPr>
      <w:tblGrid>
        <w:gridCol w:w="1414"/>
        <w:gridCol w:w="1229"/>
        <w:gridCol w:w="830"/>
        <w:gridCol w:w="1549"/>
        <w:gridCol w:w="2675"/>
      </w:tblGrid>
      <w:tr w:rsidR="00AB6A88" w:rsidRPr="00535A4C" w14:paraId="32BA8DB6" w14:textId="77777777" w:rsidTr="00B4225B">
        <w:tc>
          <w:tcPr>
            <w:tcW w:w="0" w:type="auto"/>
            <w:tcBorders>
              <w:top w:val="single" w:sz="12" w:space="0" w:color="000000"/>
              <w:left w:val="nil"/>
              <w:bottom w:val="single" w:sz="6" w:space="0" w:color="000000"/>
              <w:right w:val="single" w:sz="4" w:space="0" w:color="FFFFFF"/>
            </w:tcBorders>
          </w:tcPr>
          <w:p w14:paraId="19059E91" w14:textId="77777777" w:rsidR="00AB6A88" w:rsidRPr="00535A4C" w:rsidRDefault="00AB6A88" w:rsidP="00A95881">
            <w:pPr>
              <w:pStyle w:val="TitleColumnHeading"/>
            </w:pPr>
            <w:r w:rsidRPr="00535A4C">
              <w:t>Series</w:t>
            </w:r>
          </w:p>
        </w:tc>
        <w:tc>
          <w:tcPr>
            <w:tcW w:w="0" w:type="auto"/>
            <w:tcBorders>
              <w:top w:val="single" w:sz="12" w:space="0" w:color="000000"/>
              <w:left w:val="single" w:sz="4" w:space="0" w:color="FFFFFF"/>
              <w:bottom w:val="single" w:sz="6" w:space="0" w:color="000000"/>
              <w:right w:val="nil"/>
            </w:tcBorders>
          </w:tcPr>
          <w:p w14:paraId="07A0E28B" w14:textId="77777777" w:rsidR="00AB6A88" w:rsidRPr="00535A4C" w:rsidRDefault="00AB6A88" w:rsidP="00A95881">
            <w:pPr>
              <w:pStyle w:val="TitleColumnHeading"/>
            </w:pPr>
            <w:r w:rsidRPr="00535A4C">
              <w:t>Frequency</w:t>
            </w:r>
          </w:p>
        </w:tc>
        <w:tc>
          <w:tcPr>
            <w:tcW w:w="0" w:type="auto"/>
            <w:tcBorders>
              <w:top w:val="single" w:sz="12" w:space="0" w:color="000000"/>
              <w:left w:val="nil"/>
              <w:bottom w:val="single" w:sz="6" w:space="0" w:color="000000"/>
              <w:right w:val="nil"/>
            </w:tcBorders>
          </w:tcPr>
          <w:p w14:paraId="421F9502" w14:textId="77777777" w:rsidR="00AB6A88" w:rsidRPr="00535A4C" w:rsidRDefault="00AB6A88" w:rsidP="00A95881">
            <w:pPr>
              <w:pStyle w:val="TitleColumnHeading"/>
            </w:pPr>
            <w:r w:rsidRPr="00535A4C">
              <w:t>Power</w:t>
            </w:r>
          </w:p>
        </w:tc>
        <w:tc>
          <w:tcPr>
            <w:tcW w:w="0" w:type="auto"/>
            <w:tcBorders>
              <w:top w:val="single" w:sz="12" w:space="0" w:color="000000"/>
              <w:left w:val="nil"/>
              <w:bottom w:val="single" w:sz="6" w:space="0" w:color="000000"/>
              <w:right w:val="nil"/>
            </w:tcBorders>
          </w:tcPr>
          <w:p w14:paraId="50A45580" w14:textId="77777777" w:rsidR="00AB6A88" w:rsidRPr="00535A4C" w:rsidRDefault="00AB6A88" w:rsidP="00A95881">
            <w:pPr>
              <w:pStyle w:val="TitleColumnHeading"/>
            </w:pPr>
            <w:r w:rsidRPr="00535A4C">
              <w:t xml:space="preserve">% of variance </w:t>
            </w:r>
          </w:p>
          <w:p w14:paraId="4B70FF4B" w14:textId="77777777" w:rsidR="00AB6A88" w:rsidRPr="00535A4C" w:rsidRDefault="00AB6A88" w:rsidP="00A95881">
            <w:pPr>
              <w:pStyle w:val="TitleColumnHeading"/>
            </w:pPr>
            <w:r w:rsidRPr="00535A4C">
              <w:t>explained</w:t>
            </w:r>
          </w:p>
        </w:tc>
        <w:tc>
          <w:tcPr>
            <w:tcW w:w="0" w:type="auto"/>
            <w:tcBorders>
              <w:top w:val="single" w:sz="12" w:space="0" w:color="000000"/>
              <w:left w:val="nil"/>
              <w:bottom w:val="single" w:sz="6" w:space="0" w:color="000000"/>
              <w:right w:val="nil"/>
            </w:tcBorders>
          </w:tcPr>
          <w:p w14:paraId="48FEBA62" w14:textId="77777777" w:rsidR="00AB6A88" w:rsidRPr="00535A4C" w:rsidRDefault="00AB6A88" w:rsidP="00A95881">
            <w:pPr>
              <w:pStyle w:val="TitleColumnHeading"/>
            </w:pPr>
            <w:r w:rsidRPr="00535A4C">
              <w:t xml:space="preserve">% of cumulative variance </w:t>
            </w:r>
          </w:p>
          <w:p w14:paraId="6F412F25" w14:textId="77777777" w:rsidR="00AB6A88" w:rsidRPr="00535A4C" w:rsidRDefault="00AB6A88" w:rsidP="00A95881">
            <w:pPr>
              <w:pStyle w:val="TitleColumnHeading"/>
            </w:pPr>
            <w:r w:rsidRPr="00535A4C">
              <w:t>explained</w:t>
            </w:r>
          </w:p>
        </w:tc>
      </w:tr>
      <w:tr w:rsidR="00AB6A88" w:rsidRPr="00535A4C" w14:paraId="48C0365C" w14:textId="77777777" w:rsidTr="00B4225B">
        <w:tc>
          <w:tcPr>
            <w:tcW w:w="0" w:type="auto"/>
            <w:tcBorders>
              <w:top w:val="nil"/>
              <w:left w:val="nil"/>
              <w:bottom w:val="nil"/>
              <w:right w:val="single" w:sz="4" w:space="0" w:color="FFFFFF"/>
            </w:tcBorders>
          </w:tcPr>
          <w:p w14:paraId="39DB4EEB" w14:textId="77777777" w:rsidR="00AB6A88" w:rsidRPr="00535A4C" w:rsidRDefault="00AB6A88" w:rsidP="00E8204B">
            <w:pPr>
              <w:pStyle w:val="BodyText"/>
              <w:ind w:firstLine="0"/>
              <w:jc w:val="both"/>
              <w:rPr>
                <w:lang w:val="en-GB" w:eastAsia="en-US"/>
              </w:rPr>
            </w:pPr>
            <w:r w:rsidRPr="00535A4C">
              <w:rPr>
                <w:sz w:val="22"/>
                <w:szCs w:val="22"/>
                <w:lang w:val="en-GB" w:eastAsia="en-US"/>
              </w:rPr>
              <w:t>LR*</w:t>
            </w:r>
          </w:p>
        </w:tc>
        <w:tc>
          <w:tcPr>
            <w:tcW w:w="0" w:type="auto"/>
            <w:tcBorders>
              <w:top w:val="nil"/>
              <w:left w:val="single" w:sz="4" w:space="0" w:color="FFFFFF"/>
              <w:bottom w:val="nil"/>
              <w:right w:val="nil"/>
            </w:tcBorders>
          </w:tcPr>
          <w:p w14:paraId="2D6F5202" w14:textId="77777777" w:rsidR="00AB6A88" w:rsidRPr="00535A4C" w:rsidRDefault="00AB6A88" w:rsidP="00A95881">
            <w:pPr>
              <w:pStyle w:val="BodyText"/>
              <w:ind w:firstLine="0"/>
              <w:jc w:val="center"/>
              <w:rPr>
                <w:lang w:val="en-GB" w:eastAsia="en-US"/>
              </w:rPr>
            </w:pPr>
            <w:r w:rsidRPr="00535A4C">
              <w:rPr>
                <w:sz w:val="22"/>
                <w:szCs w:val="22"/>
                <w:lang w:val="en-GB" w:eastAsia="en-US"/>
              </w:rPr>
              <w:t>0.000</w:t>
            </w:r>
          </w:p>
        </w:tc>
        <w:tc>
          <w:tcPr>
            <w:tcW w:w="0" w:type="auto"/>
            <w:tcBorders>
              <w:top w:val="nil"/>
              <w:left w:val="nil"/>
              <w:bottom w:val="nil"/>
              <w:right w:val="nil"/>
            </w:tcBorders>
          </w:tcPr>
          <w:p w14:paraId="22A9D8E4" w14:textId="77777777" w:rsidR="00AB6A88" w:rsidRPr="00535A4C" w:rsidRDefault="00AB6A88" w:rsidP="00A95881">
            <w:pPr>
              <w:pStyle w:val="BodyText"/>
              <w:ind w:firstLine="0"/>
              <w:jc w:val="center"/>
              <w:rPr>
                <w:lang w:val="en-GB" w:eastAsia="en-US"/>
              </w:rPr>
            </w:pPr>
            <w:r w:rsidRPr="00535A4C">
              <w:rPr>
                <w:sz w:val="22"/>
                <w:szCs w:val="22"/>
                <w:lang w:val="en-GB" w:eastAsia="en-US"/>
              </w:rPr>
              <w:t>74.53</w:t>
            </w:r>
          </w:p>
        </w:tc>
        <w:tc>
          <w:tcPr>
            <w:tcW w:w="0" w:type="auto"/>
            <w:tcBorders>
              <w:top w:val="nil"/>
              <w:left w:val="nil"/>
              <w:bottom w:val="nil"/>
              <w:right w:val="nil"/>
            </w:tcBorders>
          </w:tcPr>
          <w:p w14:paraId="68F26536" w14:textId="77777777" w:rsidR="00AB6A88" w:rsidRPr="00535A4C" w:rsidRDefault="00AB6A88" w:rsidP="00A95881">
            <w:pPr>
              <w:pStyle w:val="BodyText"/>
              <w:ind w:firstLine="0"/>
              <w:jc w:val="center"/>
              <w:rPr>
                <w:lang w:val="en-GB" w:eastAsia="en-US"/>
              </w:rPr>
            </w:pPr>
            <w:r w:rsidRPr="00535A4C">
              <w:rPr>
                <w:sz w:val="22"/>
                <w:szCs w:val="22"/>
                <w:lang w:val="en-GB" w:eastAsia="en-US"/>
              </w:rPr>
              <w:t>6.03</w:t>
            </w:r>
          </w:p>
        </w:tc>
        <w:tc>
          <w:tcPr>
            <w:tcW w:w="0" w:type="auto"/>
            <w:tcBorders>
              <w:top w:val="nil"/>
              <w:left w:val="nil"/>
              <w:bottom w:val="nil"/>
              <w:right w:val="nil"/>
            </w:tcBorders>
          </w:tcPr>
          <w:p w14:paraId="3621C646" w14:textId="77777777" w:rsidR="00AB6A88" w:rsidRPr="00535A4C" w:rsidRDefault="00AB6A88" w:rsidP="00A95881">
            <w:pPr>
              <w:pStyle w:val="BodyText"/>
              <w:ind w:firstLine="0"/>
              <w:jc w:val="center"/>
              <w:rPr>
                <w:lang w:val="en-GB" w:eastAsia="en-US"/>
              </w:rPr>
            </w:pPr>
            <w:r w:rsidRPr="00535A4C">
              <w:rPr>
                <w:sz w:val="22"/>
                <w:szCs w:val="22"/>
                <w:lang w:val="en-GB" w:eastAsia="en-US"/>
              </w:rPr>
              <w:t>6.03</w:t>
            </w:r>
          </w:p>
        </w:tc>
      </w:tr>
      <w:tr w:rsidR="00AB6A88" w:rsidRPr="00535A4C" w14:paraId="4A997D52" w14:textId="77777777" w:rsidTr="00B4225B">
        <w:tc>
          <w:tcPr>
            <w:tcW w:w="0" w:type="auto"/>
            <w:tcBorders>
              <w:top w:val="nil"/>
              <w:left w:val="nil"/>
              <w:bottom w:val="nil"/>
              <w:right w:val="single" w:sz="4" w:space="0" w:color="FFFFFF"/>
            </w:tcBorders>
          </w:tcPr>
          <w:p w14:paraId="10F2337A" w14:textId="77777777" w:rsidR="00AB6A88" w:rsidRPr="00535A4C" w:rsidRDefault="00AB6A88" w:rsidP="00E8204B">
            <w:pPr>
              <w:pStyle w:val="BodyText"/>
              <w:ind w:firstLine="0"/>
              <w:jc w:val="both"/>
              <w:rPr>
                <w:lang w:val="en-GB" w:eastAsia="en-US"/>
              </w:rPr>
            </w:pPr>
            <w:r w:rsidRPr="00535A4C">
              <w:rPr>
                <w:sz w:val="22"/>
                <w:szCs w:val="22"/>
                <w:lang w:val="en-GB" w:eastAsia="en-US"/>
              </w:rPr>
              <w:t>LCPI*</w:t>
            </w:r>
          </w:p>
        </w:tc>
        <w:tc>
          <w:tcPr>
            <w:tcW w:w="0" w:type="auto"/>
            <w:tcBorders>
              <w:top w:val="nil"/>
              <w:left w:val="single" w:sz="4" w:space="0" w:color="FFFFFF"/>
              <w:bottom w:val="nil"/>
              <w:right w:val="nil"/>
            </w:tcBorders>
          </w:tcPr>
          <w:p w14:paraId="36AD90CF" w14:textId="77777777" w:rsidR="00AB6A88" w:rsidRPr="00535A4C" w:rsidRDefault="00AB6A88" w:rsidP="00A95881">
            <w:pPr>
              <w:pStyle w:val="BodyText"/>
              <w:ind w:firstLine="0"/>
              <w:jc w:val="center"/>
              <w:rPr>
                <w:lang w:val="en-GB" w:eastAsia="en-US"/>
              </w:rPr>
            </w:pPr>
            <w:r w:rsidRPr="00535A4C">
              <w:rPr>
                <w:sz w:val="22"/>
                <w:szCs w:val="22"/>
                <w:lang w:val="en-GB" w:eastAsia="en-US"/>
              </w:rPr>
              <w:t>0.003</w:t>
            </w:r>
          </w:p>
        </w:tc>
        <w:tc>
          <w:tcPr>
            <w:tcW w:w="0" w:type="auto"/>
            <w:tcBorders>
              <w:top w:val="nil"/>
              <w:left w:val="nil"/>
              <w:bottom w:val="nil"/>
              <w:right w:val="nil"/>
            </w:tcBorders>
          </w:tcPr>
          <w:p w14:paraId="3B992599" w14:textId="77777777" w:rsidR="00AB6A88" w:rsidRPr="00535A4C" w:rsidRDefault="00AB6A88" w:rsidP="00A95881">
            <w:pPr>
              <w:pStyle w:val="BodyText"/>
              <w:ind w:firstLine="0"/>
              <w:jc w:val="center"/>
              <w:rPr>
                <w:lang w:val="en-GB" w:eastAsia="en-US"/>
              </w:rPr>
            </w:pPr>
            <w:r w:rsidRPr="00535A4C">
              <w:rPr>
                <w:sz w:val="22"/>
                <w:szCs w:val="22"/>
                <w:lang w:val="en-GB" w:eastAsia="en-US"/>
              </w:rPr>
              <w:t>52.91</w:t>
            </w:r>
          </w:p>
        </w:tc>
        <w:tc>
          <w:tcPr>
            <w:tcW w:w="0" w:type="auto"/>
            <w:tcBorders>
              <w:top w:val="nil"/>
              <w:left w:val="nil"/>
              <w:bottom w:val="nil"/>
              <w:right w:val="nil"/>
            </w:tcBorders>
          </w:tcPr>
          <w:p w14:paraId="7D443499" w14:textId="77777777" w:rsidR="00AB6A88" w:rsidRPr="00535A4C" w:rsidRDefault="00AB6A88" w:rsidP="00A95881">
            <w:pPr>
              <w:pStyle w:val="BodyText"/>
              <w:ind w:firstLine="0"/>
              <w:jc w:val="center"/>
              <w:rPr>
                <w:lang w:val="en-GB" w:eastAsia="en-US"/>
              </w:rPr>
            </w:pPr>
            <w:r w:rsidRPr="00535A4C">
              <w:rPr>
                <w:sz w:val="22"/>
                <w:szCs w:val="22"/>
                <w:lang w:val="en-GB" w:eastAsia="en-US"/>
              </w:rPr>
              <w:t>4.28</w:t>
            </w:r>
          </w:p>
        </w:tc>
        <w:tc>
          <w:tcPr>
            <w:tcW w:w="0" w:type="auto"/>
            <w:tcBorders>
              <w:top w:val="nil"/>
              <w:left w:val="nil"/>
              <w:bottom w:val="nil"/>
              <w:right w:val="nil"/>
            </w:tcBorders>
          </w:tcPr>
          <w:p w14:paraId="3CA2BF81" w14:textId="77777777" w:rsidR="00AB6A88" w:rsidRPr="00535A4C" w:rsidRDefault="00AB6A88" w:rsidP="00A95881">
            <w:pPr>
              <w:pStyle w:val="BodyText"/>
              <w:ind w:firstLine="0"/>
              <w:jc w:val="center"/>
              <w:rPr>
                <w:lang w:val="en-GB" w:eastAsia="en-US"/>
              </w:rPr>
            </w:pPr>
            <w:r w:rsidRPr="00535A4C">
              <w:rPr>
                <w:sz w:val="22"/>
                <w:szCs w:val="22"/>
                <w:lang w:val="en-GB" w:eastAsia="en-US"/>
              </w:rPr>
              <w:t>10.31</w:t>
            </w:r>
          </w:p>
        </w:tc>
      </w:tr>
      <w:tr w:rsidR="00AB6A88" w:rsidRPr="00535A4C" w14:paraId="1AF8A904" w14:textId="77777777" w:rsidTr="00B4225B">
        <w:tc>
          <w:tcPr>
            <w:tcW w:w="0" w:type="auto"/>
            <w:tcBorders>
              <w:top w:val="nil"/>
              <w:left w:val="nil"/>
              <w:bottom w:val="nil"/>
              <w:right w:val="single" w:sz="4" w:space="0" w:color="FFFFFF"/>
            </w:tcBorders>
          </w:tcPr>
          <w:p w14:paraId="7D699B3C" w14:textId="77777777" w:rsidR="00AB6A88" w:rsidRPr="00535A4C" w:rsidRDefault="00AB6A88" w:rsidP="00E8204B">
            <w:pPr>
              <w:pStyle w:val="BodyText"/>
              <w:ind w:firstLine="0"/>
              <w:jc w:val="both"/>
              <w:rPr>
                <w:lang w:val="en-GB" w:eastAsia="en-US"/>
              </w:rPr>
            </w:pPr>
            <w:r w:rsidRPr="00535A4C">
              <w:rPr>
                <w:sz w:val="22"/>
                <w:szCs w:val="22"/>
                <w:lang w:val="en-GB" w:eastAsia="en-US"/>
              </w:rPr>
              <w:t>DEBT</w:t>
            </w:r>
          </w:p>
        </w:tc>
        <w:tc>
          <w:tcPr>
            <w:tcW w:w="0" w:type="auto"/>
            <w:tcBorders>
              <w:top w:val="nil"/>
              <w:left w:val="single" w:sz="4" w:space="0" w:color="FFFFFF"/>
              <w:bottom w:val="nil"/>
              <w:right w:val="nil"/>
            </w:tcBorders>
          </w:tcPr>
          <w:p w14:paraId="577554F1" w14:textId="77777777" w:rsidR="00AB6A88" w:rsidRPr="00535A4C" w:rsidRDefault="00AB6A88" w:rsidP="00A95881">
            <w:pPr>
              <w:pStyle w:val="BodyText"/>
              <w:ind w:firstLine="0"/>
              <w:jc w:val="center"/>
              <w:rPr>
                <w:lang w:val="en-GB" w:eastAsia="en-US"/>
              </w:rPr>
            </w:pPr>
            <w:r w:rsidRPr="00535A4C">
              <w:rPr>
                <w:sz w:val="22"/>
                <w:szCs w:val="22"/>
                <w:lang w:val="en-GB" w:eastAsia="en-US"/>
              </w:rPr>
              <w:t>0.02</w:t>
            </w:r>
          </w:p>
        </w:tc>
        <w:tc>
          <w:tcPr>
            <w:tcW w:w="0" w:type="auto"/>
            <w:tcBorders>
              <w:top w:val="nil"/>
              <w:left w:val="nil"/>
              <w:bottom w:val="nil"/>
              <w:right w:val="nil"/>
            </w:tcBorders>
          </w:tcPr>
          <w:p w14:paraId="4B487D0A" w14:textId="77777777" w:rsidR="00AB6A88" w:rsidRPr="00535A4C" w:rsidRDefault="00AB6A88" w:rsidP="00A95881">
            <w:pPr>
              <w:pStyle w:val="BodyText"/>
              <w:ind w:firstLine="0"/>
              <w:jc w:val="center"/>
              <w:rPr>
                <w:lang w:val="en-GB" w:eastAsia="en-US"/>
              </w:rPr>
            </w:pPr>
            <w:r w:rsidRPr="00535A4C">
              <w:rPr>
                <w:sz w:val="22"/>
                <w:szCs w:val="22"/>
                <w:lang w:val="en-GB" w:eastAsia="en-US"/>
              </w:rPr>
              <w:t>27.66</w:t>
            </w:r>
          </w:p>
        </w:tc>
        <w:tc>
          <w:tcPr>
            <w:tcW w:w="0" w:type="auto"/>
            <w:tcBorders>
              <w:top w:val="nil"/>
              <w:left w:val="nil"/>
              <w:bottom w:val="nil"/>
              <w:right w:val="nil"/>
            </w:tcBorders>
          </w:tcPr>
          <w:p w14:paraId="36F1BA28" w14:textId="77777777" w:rsidR="00AB6A88" w:rsidRPr="00535A4C" w:rsidRDefault="00AB6A88" w:rsidP="00A95881">
            <w:pPr>
              <w:pStyle w:val="BodyText"/>
              <w:ind w:firstLine="0"/>
              <w:jc w:val="center"/>
              <w:rPr>
                <w:lang w:val="en-GB" w:eastAsia="en-US"/>
              </w:rPr>
            </w:pPr>
            <w:r w:rsidRPr="00535A4C">
              <w:rPr>
                <w:sz w:val="22"/>
                <w:szCs w:val="22"/>
                <w:lang w:val="en-GB" w:eastAsia="en-US"/>
              </w:rPr>
              <w:t>2.24</w:t>
            </w:r>
          </w:p>
        </w:tc>
        <w:tc>
          <w:tcPr>
            <w:tcW w:w="0" w:type="auto"/>
            <w:tcBorders>
              <w:top w:val="nil"/>
              <w:left w:val="nil"/>
              <w:bottom w:val="nil"/>
              <w:right w:val="nil"/>
            </w:tcBorders>
          </w:tcPr>
          <w:p w14:paraId="727F5BFB" w14:textId="77777777" w:rsidR="00AB6A88" w:rsidRPr="00535A4C" w:rsidRDefault="00AB6A88" w:rsidP="00A95881">
            <w:pPr>
              <w:pStyle w:val="BodyText"/>
              <w:ind w:firstLine="0"/>
              <w:jc w:val="center"/>
              <w:rPr>
                <w:lang w:val="en-GB" w:eastAsia="en-US"/>
              </w:rPr>
            </w:pPr>
            <w:r w:rsidRPr="00535A4C">
              <w:rPr>
                <w:sz w:val="22"/>
                <w:szCs w:val="22"/>
                <w:lang w:val="en-GB" w:eastAsia="en-US"/>
              </w:rPr>
              <w:t>12.55</w:t>
            </w:r>
          </w:p>
        </w:tc>
      </w:tr>
      <w:tr w:rsidR="00AB6A88" w:rsidRPr="00535A4C" w14:paraId="3BC20CC7" w14:textId="77777777" w:rsidTr="00B4225B">
        <w:tc>
          <w:tcPr>
            <w:tcW w:w="0" w:type="auto"/>
            <w:tcBorders>
              <w:top w:val="nil"/>
              <w:left w:val="nil"/>
              <w:bottom w:val="nil"/>
              <w:right w:val="single" w:sz="4" w:space="0" w:color="FFFFFF"/>
            </w:tcBorders>
          </w:tcPr>
          <w:p w14:paraId="5078C99B" w14:textId="77777777" w:rsidR="00AB6A88" w:rsidRPr="00535A4C" w:rsidRDefault="00AB6A88" w:rsidP="00E8204B">
            <w:pPr>
              <w:pStyle w:val="BodyText"/>
              <w:ind w:firstLine="0"/>
              <w:jc w:val="both"/>
              <w:rPr>
                <w:lang w:val="en-GB" w:eastAsia="en-US"/>
              </w:rPr>
            </w:pPr>
            <w:r w:rsidRPr="00535A4C">
              <w:rPr>
                <w:sz w:val="22"/>
                <w:szCs w:val="22"/>
                <w:lang w:val="en-GB" w:eastAsia="en-US"/>
              </w:rPr>
              <w:t>VOL</w:t>
            </w:r>
          </w:p>
        </w:tc>
        <w:tc>
          <w:tcPr>
            <w:tcW w:w="0" w:type="auto"/>
            <w:tcBorders>
              <w:top w:val="nil"/>
              <w:left w:val="single" w:sz="4" w:space="0" w:color="FFFFFF"/>
              <w:bottom w:val="nil"/>
              <w:right w:val="nil"/>
            </w:tcBorders>
          </w:tcPr>
          <w:p w14:paraId="44DB2044" w14:textId="77777777" w:rsidR="00AB6A88" w:rsidRPr="00535A4C" w:rsidRDefault="00AB6A88" w:rsidP="00A95881">
            <w:pPr>
              <w:pStyle w:val="BodyText"/>
              <w:ind w:firstLine="0"/>
              <w:jc w:val="center"/>
              <w:rPr>
                <w:lang w:val="en-GB" w:eastAsia="en-US"/>
              </w:rPr>
            </w:pPr>
            <w:r w:rsidRPr="00535A4C">
              <w:rPr>
                <w:sz w:val="22"/>
                <w:szCs w:val="22"/>
                <w:lang w:val="en-GB" w:eastAsia="en-US"/>
              </w:rPr>
              <w:t>0.081</w:t>
            </w:r>
          </w:p>
        </w:tc>
        <w:tc>
          <w:tcPr>
            <w:tcW w:w="0" w:type="auto"/>
            <w:tcBorders>
              <w:top w:val="nil"/>
              <w:left w:val="nil"/>
              <w:bottom w:val="nil"/>
              <w:right w:val="nil"/>
            </w:tcBorders>
          </w:tcPr>
          <w:p w14:paraId="2571AC31" w14:textId="77777777" w:rsidR="00AB6A88" w:rsidRPr="00535A4C" w:rsidRDefault="00AB6A88" w:rsidP="00A95881">
            <w:pPr>
              <w:pStyle w:val="BodyText"/>
              <w:ind w:firstLine="0"/>
              <w:jc w:val="center"/>
              <w:rPr>
                <w:lang w:val="en-GB" w:eastAsia="en-US"/>
              </w:rPr>
            </w:pPr>
            <w:r w:rsidRPr="00535A4C">
              <w:rPr>
                <w:sz w:val="22"/>
                <w:szCs w:val="22"/>
                <w:lang w:val="en-GB" w:eastAsia="en-US"/>
              </w:rPr>
              <w:t>27.25</w:t>
            </w:r>
          </w:p>
        </w:tc>
        <w:tc>
          <w:tcPr>
            <w:tcW w:w="0" w:type="auto"/>
            <w:tcBorders>
              <w:top w:val="nil"/>
              <w:left w:val="nil"/>
              <w:bottom w:val="nil"/>
              <w:right w:val="nil"/>
            </w:tcBorders>
          </w:tcPr>
          <w:p w14:paraId="14E7A553" w14:textId="77777777" w:rsidR="00AB6A88" w:rsidRPr="00535A4C" w:rsidRDefault="00AB6A88" w:rsidP="00A95881">
            <w:pPr>
              <w:pStyle w:val="BodyText"/>
              <w:ind w:firstLine="0"/>
              <w:jc w:val="center"/>
              <w:rPr>
                <w:lang w:val="en-GB" w:eastAsia="en-US"/>
              </w:rPr>
            </w:pPr>
            <w:r w:rsidRPr="00535A4C">
              <w:rPr>
                <w:sz w:val="22"/>
                <w:szCs w:val="22"/>
                <w:lang w:val="en-GB" w:eastAsia="en-US"/>
              </w:rPr>
              <w:t>2.21</w:t>
            </w:r>
          </w:p>
        </w:tc>
        <w:tc>
          <w:tcPr>
            <w:tcW w:w="0" w:type="auto"/>
            <w:tcBorders>
              <w:top w:val="nil"/>
              <w:left w:val="nil"/>
              <w:bottom w:val="nil"/>
              <w:right w:val="nil"/>
            </w:tcBorders>
          </w:tcPr>
          <w:p w14:paraId="15BE2C9C" w14:textId="77777777" w:rsidR="00AB6A88" w:rsidRPr="00535A4C" w:rsidRDefault="00AB6A88" w:rsidP="00A95881">
            <w:pPr>
              <w:pStyle w:val="BodyText"/>
              <w:ind w:firstLine="0"/>
              <w:jc w:val="center"/>
              <w:rPr>
                <w:lang w:val="en-GB" w:eastAsia="en-US"/>
              </w:rPr>
            </w:pPr>
            <w:r w:rsidRPr="00535A4C">
              <w:rPr>
                <w:sz w:val="22"/>
                <w:szCs w:val="22"/>
                <w:lang w:val="en-GB" w:eastAsia="en-US"/>
              </w:rPr>
              <w:t>14.76</w:t>
            </w:r>
          </w:p>
        </w:tc>
      </w:tr>
      <w:tr w:rsidR="00AB6A88" w:rsidRPr="00535A4C" w14:paraId="26441F0C" w14:textId="77777777" w:rsidTr="00B4225B">
        <w:tc>
          <w:tcPr>
            <w:tcW w:w="0" w:type="auto"/>
            <w:tcBorders>
              <w:top w:val="nil"/>
              <w:left w:val="nil"/>
              <w:bottom w:val="nil"/>
              <w:right w:val="single" w:sz="4" w:space="0" w:color="FFFFFF"/>
            </w:tcBorders>
          </w:tcPr>
          <w:p w14:paraId="1E70F94C" w14:textId="77777777" w:rsidR="00AB6A88" w:rsidRPr="00535A4C" w:rsidRDefault="00AB6A88" w:rsidP="00E8204B">
            <w:pPr>
              <w:pStyle w:val="BodyText"/>
              <w:ind w:firstLine="0"/>
              <w:jc w:val="both"/>
              <w:rPr>
                <w:lang w:val="en-GB" w:eastAsia="en-US"/>
              </w:rPr>
            </w:pPr>
            <w:r w:rsidRPr="00535A4C">
              <w:rPr>
                <w:sz w:val="22"/>
                <w:szCs w:val="22"/>
                <w:lang w:val="en-GB" w:eastAsia="en-US"/>
              </w:rPr>
              <w:t>EXPSTIR</w:t>
            </w:r>
          </w:p>
        </w:tc>
        <w:tc>
          <w:tcPr>
            <w:tcW w:w="0" w:type="auto"/>
            <w:tcBorders>
              <w:top w:val="nil"/>
              <w:left w:val="single" w:sz="4" w:space="0" w:color="FFFFFF"/>
              <w:bottom w:val="nil"/>
              <w:right w:val="nil"/>
            </w:tcBorders>
          </w:tcPr>
          <w:p w14:paraId="6F18ABA1" w14:textId="77777777" w:rsidR="00AB6A88" w:rsidRPr="00535A4C" w:rsidRDefault="00AB6A88" w:rsidP="00A95881">
            <w:pPr>
              <w:pStyle w:val="BodyText"/>
              <w:ind w:firstLine="0"/>
              <w:jc w:val="center"/>
              <w:rPr>
                <w:lang w:val="en-GB" w:eastAsia="en-US"/>
              </w:rPr>
            </w:pPr>
            <w:r w:rsidRPr="00535A4C">
              <w:rPr>
                <w:sz w:val="22"/>
                <w:szCs w:val="22"/>
                <w:lang w:val="en-GB" w:eastAsia="en-US"/>
              </w:rPr>
              <w:t>0.082</w:t>
            </w:r>
          </w:p>
        </w:tc>
        <w:tc>
          <w:tcPr>
            <w:tcW w:w="0" w:type="auto"/>
            <w:tcBorders>
              <w:top w:val="nil"/>
              <w:left w:val="nil"/>
              <w:bottom w:val="nil"/>
              <w:right w:val="nil"/>
            </w:tcBorders>
          </w:tcPr>
          <w:p w14:paraId="207D2338" w14:textId="77777777" w:rsidR="00AB6A88" w:rsidRPr="00535A4C" w:rsidRDefault="00AB6A88" w:rsidP="00A95881">
            <w:pPr>
              <w:pStyle w:val="BodyText"/>
              <w:ind w:firstLine="0"/>
              <w:jc w:val="center"/>
              <w:rPr>
                <w:lang w:val="en-GB" w:eastAsia="en-US"/>
              </w:rPr>
            </w:pPr>
            <w:r w:rsidRPr="00535A4C">
              <w:rPr>
                <w:sz w:val="22"/>
                <w:szCs w:val="22"/>
                <w:lang w:val="en-GB" w:eastAsia="en-US"/>
              </w:rPr>
              <w:t>27.15</w:t>
            </w:r>
          </w:p>
        </w:tc>
        <w:tc>
          <w:tcPr>
            <w:tcW w:w="0" w:type="auto"/>
            <w:tcBorders>
              <w:top w:val="nil"/>
              <w:left w:val="nil"/>
              <w:bottom w:val="nil"/>
              <w:right w:val="nil"/>
            </w:tcBorders>
          </w:tcPr>
          <w:p w14:paraId="7BBCEC30" w14:textId="77777777" w:rsidR="00AB6A88" w:rsidRPr="00535A4C" w:rsidRDefault="00AB6A88" w:rsidP="00A95881">
            <w:pPr>
              <w:pStyle w:val="BodyText"/>
              <w:ind w:firstLine="0"/>
              <w:jc w:val="center"/>
              <w:rPr>
                <w:lang w:val="en-GB" w:eastAsia="en-US"/>
              </w:rPr>
            </w:pPr>
            <w:r w:rsidRPr="00535A4C">
              <w:rPr>
                <w:sz w:val="22"/>
                <w:szCs w:val="22"/>
                <w:lang w:val="en-GB" w:eastAsia="en-US"/>
              </w:rPr>
              <w:t>2.20</w:t>
            </w:r>
          </w:p>
        </w:tc>
        <w:tc>
          <w:tcPr>
            <w:tcW w:w="0" w:type="auto"/>
            <w:tcBorders>
              <w:top w:val="nil"/>
              <w:left w:val="nil"/>
              <w:bottom w:val="nil"/>
              <w:right w:val="nil"/>
            </w:tcBorders>
          </w:tcPr>
          <w:p w14:paraId="19BDED45" w14:textId="77777777" w:rsidR="00AB6A88" w:rsidRPr="00535A4C" w:rsidRDefault="00AB6A88" w:rsidP="00A95881">
            <w:pPr>
              <w:pStyle w:val="BodyText"/>
              <w:ind w:firstLine="0"/>
              <w:jc w:val="center"/>
              <w:rPr>
                <w:lang w:val="en-GB" w:eastAsia="en-US"/>
              </w:rPr>
            </w:pPr>
            <w:r w:rsidRPr="00535A4C">
              <w:rPr>
                <w:sz w:val="22"/>
                <w:szCs w:val="22"/>
                <w:lang w:val="en-GB" w:eastAsia="en-US"/>
              </w:rPr>
              <w:t>16.96</w:t>
            </w:r>
          </w:p>
        </w:tc>
      </w:tr>
      <w:tr w:rsidR="00AB6A88" w:rsidRPr="00535A4C" w14:paraId="27B567B4" w14:textId="77777777" w:rsidTr="00B4225B">
        <w:tc>
          <w:tcPr>
            <w:tcW w:w="0" w:type="auto"/>
            <w:tcBorders>
              <w:top w:val="nil"/>
              <w:left w:val="nil"/>
              <w:bottom w:val="nil"/>
              <w:right w:val="single" w:sz="4" w:space="0" w:color="FFFFFF"/>
            </w:tcBorders>
          </w:tcPr>
          <w:p w14:paraId="1E67E4EE" w14:textId="77777777" w:rsidR="00AB6A88" w:rsidRPr="00535A4C" w:rsidRDefault="00AB6A88" w:rsidP="00E8204B">
            <w:pPr>
              <w:pStyle w:val="BodyText"/>
              <w:ind w:firstLine="0"/>
              <w:jc w:val="both"/>
              <w:rPr>
                <w:lang w:val="en-GB" w:eastAsia="en-US"/>
              </w:rPr>
            </w:pPr>
            <w:r w:rsidRPr="00535A4C">
              <w:rPr>
                <w:sz w:val="22"/>
                <w:szCs w:val="22"/>
                <w:lang w:val="en-GB" w:eastAsia="en-US"/>
              </w:rPr>
              <w:t>GOLDSIL</w:t>
            </w:r>
          </w:p>
        </w:tc>
        <w:tc>
          <w:tcPr>
            <w:tcW w:w="0" w:type="auto"/>
            <w:tcBorders>
              <w:top w:val="nil"/>
              <w:left w:val="single" w:sz="4" w:space="0" w:color="FFFFFF"/>
              <w:bottom w:val="nil"/>
              <w:right w:val="nil"/>
            </w:tcBorders>
          </w:tcPr>
          <w:p w14:paraId="12C64293" w14:textId="77777777" w:rsidR="00AB6A88" w:rsidRPr="00535A4C" w:rsidRDefault="00AB6A88" w:rsidP="00A95881">
            <w:pPr>
              <w:pStyle w:val="BodyText"/>
              <w:ind w:firstLine="0"/>
              <w:jc w:val="center"/>
              <w:rPr>
                <w:lang w:val="en-GB" w:eastAsia="en-US"/>
              </w:rPr>
            </w:pPr>
            <w:r w:rsidRPr="00535A4C">
              <w:rPr>
                <w:sz w:val="22"/>
                <w:szCs w:val="22"/>
                <w:lang w:val="en-GB" w:eastAsia="en-US"/>
              </w:rPr>
              <w:t>0.031</w:t>
            </w:r>
          </w:p>
        </w:tc>
        <w:tc>
          <w:tcPr>
            <w:tcW w:w="0" w:type="auto"/>
            <w:tcBorders>
              <w:top w:val="nil"/>
              <w:left w:val="nil"/>
              <w:bottom w:val="nil"/>
              <w:right w:val="nil"/>
            </w:tcBorders>
          </w:tcPr>
          <w:p w14:paraId="5AF4B926" w14:textId="77777777" w:rsidR="00AB6A88" w:rsidRPr="00535A4C" w:rsidRDefault="00AB6A88" w:rsidP="00A95881">
            <w:pPr>
              <w:pStyle w:val="BodyText"/>
              <w:ind w:firstLine="0"/>
              <w:jc w:val="center"/>
              <w:rPr>
                <w:lang w:val="en-GB" w:eastAsia="en-US"/>
              </w:rPr>
            </w:pPr>
            <w:r w:rsidRPr="00535A4C">
              <w:rPr>
                <w:sz w:val="22"/>
                <w:szCs w:val="22"/>
                <w:lang w:val="en-GB" w:eastAsia="en-US"/>
              </w:rPr>
              <w:t>25.02</w:t>
            </w:r>
          </w:p>
        </w:tc>
        <w:tc>
          <w:tcPr>
            <w:tcW w:w="0" w:type="auto"/>
            <w:tcBorders>
              <w:top w:val="nil"/>
              <w:left w:val="nil"/>
              <w:bottom w:val="nil"/>
              <w:right w:val="nil"/>
            </w:tcBorders>
          </w:tcPr>
          <w:p w14:paraId="796FC609" w14:textId="77777777" w:rsidR="00AB6A88" w:rsidRPr="00535A4C" w:rsidRDefault="00AB6A88" w:rsidP="00A95881">
            <w:pPr>
              <w:pStyle w:val="BodyText"/>
              <w:ind w:firstLine="0"/>
              <w:jc w:val="center"/>
              <w:rPr>
                <w:lang w:val="en-GB" w:eastAsia="en-US"/>
              </w:rPr>
            </w:pPr>
            <w:r w:rsidRPr="00535A4C">
              <w:rPr>
                <w:sz w:val="22"/>
                <w:szCs w:val="22"/>
                <w:lang w:val="en-GB" w:eastAsia="en-US"/>
              </w:rPr>
              <w:t>2.02</w:t>
            </w:r>
          </w:p>
        </w:tc>
        <w:tc>
          <w:tcPr>
            <w:tcW w:w="0" w:type="auto"/>
            <w:tcBorders>
              <w:top w:val="nil"/>
              <w:left w:val="nil"/>
              <w:bottom w:val="nil"/>
              <w:right w:val="nil"/>
            </w:tcBorders>
          </w:tcPr>
          <w:p w14:paraId="500D424D" w14:textId="77777777" w:rsidR="00AB6A88" w:rsidRPr="00535A4C" w:rsidRDefault="00AB6A88" w:rsidP="00A95881">
            <w:pPr>
              <w:pStyle w:val="BodyText"/>
              <w:ind w:firstLine="0"/>
              <w:jc w:val="center"/>
              <w:rPr>
                <w:lang w:val="en-GB" w:eastAsia="en-US"/>
              </w:rPr>
            </w:pPr>
            <w:r w:rsidRPr="00535A4C">
              <w:rPr>
                <w:sz w:val="22"/>
                <w:szCs w:val="22"/>
                <w:lang w:val="en-GB" w:eastAsia="en-US"/>
              </w:rPr>
              <w:t>18.98</w:t>
            </w:r>
          </w:p>
        </w:tc>
      </w:tr>
      <w:tr w:rsidR="00AB6A88" w:rsidRPr="00535A4C" w14:paraId="5FD19626" w14:textId="77777777" w:rsidTr="00B4225B">
        <w:tc>
          <w:tcPr>
            <w:tcW w:w="0" w:type="auto"/>
            <w:tcBorders>
              <w:top w:val="nil"/>
              <w:left w:val="nil"/>
              <w:bottom w:val="nil"/>
              <w:right w:val="single" w:sz="4" w:space="0" w:color="FFFFFF"/>
            </w:tcBorders>
          </w:tcPr>
          <w:p w14:paraId="75583529" w14:textId="77777777" w:rsidR="00AB6A88" w:rsidRPr="00535A4C" w:rsidRDefault="00AB6A88" w:rsidP="00E8204B">
            <w:pPr>
              <w:pStyle w:val="BodyText"/>
              <w:ind w:firstLine="0"/>
              <w:jc w:val="both"/>
              <w:rPr>
                <w:lang w:val="en-GB" w:eastAsia="en-US"/>
              </w:rPr>
            </w:pPr>
            <w:r w:rsidRPr="00535A4C">
              <w:rPr>
                <w:sz w:val="22"/>
                <w:szCs w:val="22"/>
                <w:lang w:val="en-GB" w:eastAsia="en-US"/>
              </w:rPr>
              <w:t>TURNOVER</w:t>
            </w:r>
          </w:p>
        </w:tc>
        <w:tc>
          <w:tcPr>
            <w:tcW w:w="0" w:type="auto"/>
            <w:tcBorders>
              <w:top w:val="nil"/>
              <w:left w:val="single" w:sz="4" w:space="0" w:color="FFFFFF"/>
              <w:bottom w:val="nil"/>
              <w:right w:val="nil"/>
            </w:tcBorders>
          </w:tcPr>
          <w:p w14:paraId="53FC5EC1" w14:textId="77777777" w:rsidR="00AB6A88" w:rsidRPr="00535A4C" w:rsidRDefault="00AB6A88" w:rsidP="00A95881">
            <w:pPr>
              <w:pStyle w:val="BodyText"/>
              <w:ind w:firstLine="0"/>
              <w:jc w:val="center"/>
              <w:rPr>
                <w:lang w:val="en-GB" w:eastAsia="en-US"/>
              </w:rPr>
            </w:pPr>
            <w:r w:rsidRPr="00535A4C">
              <w:rPr>
                <w:sz w:val="22"/>
                <w:szCs w:val="22"/>
                <w:lang w:val="en-GB" w:eastAsia="en-US"/>
              </w:rPr>
              <w:t>0.032</w:t>
            </w:r>
          </w:p>
        </w:tc>
        <w:tc>
          <w:tcPr>
            <w:tcW w:w="0" w:type="auto"/>
            <w:tcBorders>
              <w:top w:val="nil"/>
              <w:left w:val="nil"/>
              <w:bottom w:val="nil"/>
              <w:right w:val="nil"/>
            </w:tcBorders>
          </w:tcPr>
          <w:p w14:paraId="13CBEB81" w14:textId="77777777" w:rsidR="00AB6A88" w:rsidRPr="00535A4C" w:rsidRDefault="00AB6A88" w:rsidP="00A95881">
            <w:pPr>
              <w:pStyle w:val="BodyText"/>
              <w:ind w:firstLine="0"/>
              <w:jc w:val="center"/>
              <w:rPr>
                <w:lang w:val="en-GB" w:eastAsia="en-US"/>
              </w:rPr>
            </w:pPr>
            <w:r w:rsidRPr="00535A4C">
              <w:rPr>
                <w:sz w:val="22"/>
                <w:szCs w:val="22"/>
                <w:lang w:val="en-GB" w:eastAsia="en-US"/>
              </w:rPr>
              <w:t>24.64</w:t>
            </w:r>
          </w:p>
        </w:tc>
        <w:tc>
          <w:tcPr>
            <w:tcW w:w="0" w:type="auto"/>
            <w:tcBorders>
              <w:top w:val="nil"/>
              <w:left w:val="nil"/>
              <w:bottom w:val="nil"/>
              <w:right w:val="nil"/>
            </w:tcBorders>
          </w:tcPr>
          <w:p w14:paraId="11168217" w14:textId="77777777" w:rsidR="00AB6A88" w:rsidRPr="00535A4C" w:rsidRDefault="00AB6A88" w:rsidP="00A95881">
            <w:pPr>
              <w:pStyle w:val="BodyText"/>
              <w:ind w:firstLine="0"/>
              <w:jc w:val="center"/>
              <w:rPr>
                <w:lang w:val="en-GB" w:eastAsia="en-US"/>
              </w:rPr>
            </w:pPr>
            <w:r w:rsidRPr="00535A4C">
              <w:rPr>
                <w:sz w:val="22"/>
                <w:szCs w:val="22"/>
                <w:lang w:val="en-GB" w:eastAsia="en-US"/>
              </w:rPr>
              <w:t>1.99</w:t>
            </w:r>
          </w:p>
        </w:tc>
        <w:tc>
          <w:tcPr>
            <w:tcW w:w="0" w:type="auto"/>
            <w:tcBorders>
              <w:top w:val="nil"/>
              <w:left w:val="nil"/>
              <w:bottom w:val="nil"/>
              <w:right w:val="nil"/>
            </w:tcBorders>
          </w:tcPr>
          <w:p w14:paraId="2789781C" w14:textId="77777777" w:rsidR="00AB6A88" w:rsidRPr="00535A4C" w:rsidRDefault="00AB6A88" w:rsidP="00A95881">
            <w:pPr>
              <w:pStyle w:val="BodyText"/>
              <w:ind w:firstLine="0"/>
              <w:jc w:val="center"/>
              <w:rPr>
                <w:lang w:val="en-GB" w:eastAsia="en-US"/>
              </w:rPr>
            </w:pPr>
            <w:r w:rsidRPr="00535A4C">
              <w:rPr>
                <w:sz w:val="22"/>
                <w:szCs w:val="22"/>
                <w:lang w:val="en-GB" w:eastAsia="en-US"/>
              </w:rPr>
              <w:t>20.97</w:t>
            </w:r>
          </w:p>
        </w:tc>
      </w:tr>
      <w:tr w:rsidR="00AB6A88" w:rsidRPr="00535A4C" w14:paraId="04245FB6" w14:textId="77777777" w:rsidTr="00B4225B">
        <w:tc>
          <w:tcPr>
            <w:tcW w:w="0" w:type="auto"/>
            <w:tcBorders>
              <w:top w:val="nil"/>
              <w:left w:val="nil"/>
              <w:bottom w:val="nil"/>
              <w:right w:val="single" w:sz="4" w:space="0" w:color="FFFFFF"/>
            </w:tcBorders>
          </w:tcPr>
          <w:p w14:paraId="067A10B1" w14:textId="77777777" w:rsidR="00AB6A88" w:rsidRPr="00535A4C" w:rsidRDefault="00AB6A88" w:rsidP="00E8204B">
            <w:pPr>
              <w:pStyle w:val="BodyText"/>
              <w:ind w:firstLine="0"/>
              <w:jc w:val="both"/>
              <w:rPr>
                <w:lang w:val="en-GB" w:eastAsia="en-US"/>
              </w:rPr>
            </w:pPr>
            <w:r w:rsidRPr="00535A4C">
              <w:rPr>
                <w:sz w:val="22"/>
                <w:szCs w:val="22"/>
                <w:lang w:val="en-GB" w:eastAsia="en-US"/>
              </w:rPr>
              <w:t>RORK2*</w:t>
            </w:r>
          </w:p>
        </w:tc>
        <w:tc>
          <w:tcPr>
            <w:tcW w:w="0" w:type="auto"/>
            <w:tcBorders>
              <w:top w:val="nil"/>
              <w:left w:val="single" w:sz="4" w:space="0" w:color="FFFFFF"/>
              <w:bottom w:val="nil"/>
              <w:right w:val="nil"/>
            </w:tcBorders>
          </w:tcPr>
          <w:p w14:paraId="13DF0476" w14:textId="77777777" w:rsidR="00AB6A88" w:rsidRPr="00535A4C" w:rsidRDefault="00AB6A88" w:rsidP="00A95881">
            <w:pPr>
              <w:pStyle w:val="BodyText"/>
              <w:ind w:firstLine="0"/>
              <w:jc w:val="center"/>
              <w:rPr>
                <w:lang w:val="en-GB" w:eastAsia="en-US"/>
              </w:rPr>
            </w:pPr>
            <w:r w:rsidRPr="00535A4C">
              <w:rPr>
                <w:sz w:val="22"/>
                <w:szCs w:val="22"/>
                <w:lang w:val="en-GB" w:eastAsia="en-US"/>
              </w:rPr>
              <w:t>0.111</w:t>
            </w:r>
          </w:p>
        </w:tc>
        <w:tc>
          <w:tcPr>
            <w:tcW w:w="0" w:type="auto"/>
            <w:tcBorders>
              <w:top w:val="nil"/>
              <w:left w:val="nil"/>
              <w:bottom w:val="nil"/>
              <w:right w:val="nil"/>
            </w:tcBorders>
          </w:tcPr>
          <w:p w14:paraId="6DBAD225" w14:textId="77777777" w:rsidR="00AB6A88" w:rsidRPr="00535A4C" w:rsidRDefault="00AB6A88" w:rsidP="00A95881">
            <w:pPr>
              <w:pStyle w:val="BodyText"/>
              <w:ind w:firstLine="0"/>
              <w:jc w:val="center"/>
              <w:rPr>
                <w:lang w:val="en-GB" w:eastAsia="en-US"/>
              </w:rPr>
            </w:pPr>
            <w:r w:rsidRPr="00535A4C">
              <w:rPr>
                <w:sz w:val="22"/>
                <w:szCs w:val="22"/>
                <w:lang w:val="en-GB" w:eastAsia="en-US"/>
              </w:rPr>
              <w:t>24.12</w:t>
            </w:r>
          </w:p>
        </w:tc>
        <w:tc>
          <w:tcPr>
            <w:tcW w:w="0" w:type="auto"/>
            <w:tcBorders>
              <w:top w:val="nil"/>
              <w:left w:val="nil"/>
              <w:bottom w:val="nil"/>
              <w:right w:val="nil"/>
            </w:tcBorders>
          </w:tcPr>
          <w:p w14:paraId="331CC6E2" w14:textId="77777777" w:rsidR="00AB6A88" w:rsidRPr="00535A4C" w:rsidRDefault="00AB6A88" w:rsidP="00A95881">
            <w:pPr>
              <w:pStyle w:val="BodyText"/>
              <w:ind w:firstLine="0"/>
              <w:jc w:val="center"/>
              <w:rPr>
                <w:lang w:val="en-GB" w:eastAsia="en-US"/>
              </w:rPr>
            </w:pPr>
            <w:r w:rsidRPr="00535A4C">
              <w:rPr>
                <w:sz w:val="22"/>
                <w:szCs w:val="22"/>
                <w:lang w:val="en-GB" w:eastAsia="en-US"/>
              </w:rPr>
              <w:t>1.95</w:t>
            </w:r>
          </w:p>
        </w:tc>
        <w:tc>
          <w:tcPr>
            <w:tcW w:w="0" w:type="auto"/>
            <w:tcBorders>
              <w:top w:val="nil"/>
              <w:left w:val="nil"/>
              <w:bottom w:val="nil"/>
              <w:right w:val="nil"/>
            </w:tcBorders>
          </w:tcPr>
          <w:p w14:paraId="7206A63D" w14:textId="77777777" w:rsidR="00AB6A88" w:rsidRPr="00535A4C" w:rsidRDefault="00AB6A88" w:rsidP="00A95881">
            <w:pPr>
              <w:pStyle w:val="BodyText"/>
              <w:ind w:firstLine="0"/>
              <w:jc w:val="center"/>
              <w:rPr>
                <w:lang w:val="en-GB" w:eastAsia="en-US"/>
              </w:rPr>
            </w:pPr>
            <w:r w:rsidRPr="00535A4C">
              <w:rPr>
                <w:sz w:val="22"/>
                <w:szCs w:val="22"/>
                <w:lang w:val="en-GB" w:eastAsia="en-US"/>
              </w:rPr>
              <w:t>22.92</w:t>
            </w:r>
          </w:p>
        </w:tc>
      </w:tr>
      <w:tr w:rsidR="00AB6A88" w:rsidRPr="00535A4C" w14:paraId="4EAD5F43" w14:textId="77777777" w:rsidTr="00B4225B">
        <w:tc>
          <w:tcPr>
            <w:tcW w:w="0" w:type="auto"/>
            <w:tcBorders>
              <w:top w:val="nil"/>
              <w:left w:val="nil"/>
              <w:bottom w:val="nil"/>
              <w:right w:val="single" w:sz="4" w:space="0" w:color="FFFFFF"/>
            </w:tcBorders>
          </w:tcPr>
          <w:p w14:paraId="02786BD0" w14:textId="77777777" w:rsidR="00AB6A88" w:rsidRPr="00535A4C" w:rsidRDefault="00AB6A88" w:rsidP="00E8204B">
            <w:pPr>
              <w:pStyle w:val="BodyText"/>
              <w:ind w:firstLine="0"/>
              <w:jc w:val="both"/>
              <w:rPr>
                <w:lang w:val="en-GB" w:eastAsia="en-US"/>
              </w:rPr>
            </w:pPr>
            <w:r w:rsidRPr="00535A4C">
              <w:rPr>
                <w:sz w:val="22"/>
                <w:szCs w:val="22"/>
                <w:lang w:val="en-GB" w:eastAsia="en-US"/>
              </w:rPr>
              <w:t>UN</w:t>
            </w:r>
          </w:p>
        </w:tc>
        <w:tc>
          <w:tcPr>
            <w:tcW w:w="0" w:type="auto"/>
            <w:tcBorders>
              <w:top w:val="nil"/>
              <w:left w:val="single" w:sz="4" w:space="0" w:color="FFFFFF"/>
              <w:bottom w:val="nil"/>
              <w:right w:val="nil"/>
            </w:tcBorders>
          </w:tcPr>
          <w:p w14:paraId="60CCC1DC" w14:textId="77777777" w:rsidR="00AB6A88" w:rsidRPr="00535A4C" w:rsidRDefault="00AB6A88" w:rsidP="00A95881">
            <w:pPr>
              <w:pStyle w:val="BodyText"/>
              <w:ind w:firstLine="0"/>
              <w:jc w:val="center"/>
              <w:rPr>
                <w:lang w:val="en-GB" w:eastAsia="en-US"/>
              </w:rPr>
            </w:pPr>
            <w:r w:rsidRPr="00535A4C">
              <w:rPr>
                <w:sz w:val="22"/>
                <w:szCs w:val="22"/>
                <w:lang w:val="en-GB" w:eastAsia="en-US"/>
              </w:rPr>
              <w:t>0.021</w:t>
            </w:r>
          </w:p>
        </w:tc>
        <w:tc>
          <w:tcPr>
            <w:tcW w:w="0" w:type="auto"/>
            <w:tcBorders>
              <w:top w:val="nil"/>
              <w:left w:val="nil"/>
              <w:bottom w:val="nil"/>
              <w:right w:val="nil"/>
            </w:tcBorders>
          </w:tcPr>
          <w:p w14:paraId="2A35F0B7" w14:textId="77777777" w:rsidR="00AB6A88" w:rsidRPr="00535A4C" w:rsidRDefault="00AB6A88" w:rsidP="00A95881">
            <w:pPr>
              <w:pStyle w:val="BodyText"/>
              <w:ind w:firstLine="0"/>
              <w:jc w:val="center"/>
              <w:rPr>
                <w:lang w:val="en-GB" w:eastAsia="en-US"/>
              </w:rPr>
            </w:pPr>
            <w:r w:rsidRPr="00535A4C">
              <w:rPr>
                <w:sz w:val="22"/>
                <w:szCs w:val="22"/>
                <w:lang w:val="en-GB" w:eastAsia="en-US"/>
              </w:rPr>
              <w:t>23.82</w:t>
            </w:r>
          </w:p>
        </w:tc>
        <w:tc>
          <w:tcPr>
            <w:tcW w:w="0" w:type="auto"/>
            <w:tcBorders>
              <w:top w:val="nil"/>
              <w:left w:val="nil"/>
              <w:bottom w:val="nil"/>
              <w:right w:val="nil"/>
            </w:tcBorders>
          </w:tcPr>
          <w:p w14:paraId="72605426" w14:textId="77777777" w:rsidR="00AB6A88" w:rsidRPr="00535A4C" w:rsidRDefault="00AB6A88" w:rsidP="00A95881">
            <w:pPr>
              <w:pStyle w:val="BodyText"/>
              <w:ind w:firstLine="0"/>
              <w:jc w:val="center"/>
              <w:rPr>
                <w:lang w:val="en-GB" w:eastAsia="en-US"/>
              </w:rPr>
            </w:pPr>
            <w:r w:rsidRPr="00535A4C">
              <w:rPr>
                <w:sz w:val="22"/>
                <w:szCs w:val="22"/>
                <w:lang w:val="en-GB" w:eastAsia="en-US"/>
              </w:rPr>
              <w:t>1.93</w:t>
            </w:r>
          </w:p>
        </w:tc>
        <w:tc>
          <w:tcPr>
            <w:tcW w:w="0" w:type="auto"/>
            <w:tcBorders>
              <w:top w:val="nil"/>
              <w:left w:val="nil"/>
              <w:bottom w:val="nil"/>
              <w:right w:val="nil"/>
            </w:tcBorders>
          </w:tcPr>
          <w:p w14:paraId="7489346E" w14:textId="77777777" w:rsidR="00AB6A88" w:rsidRPr="00535A4C" w:rsidRDefault="00AB6A88" w:rsidP="00A95881">
            <w:pPr>
              <w:pStyle w:val="BodyText"/>
              <w:ind w:firstLine="0"/>
              <w:jc w:val="center"/>
              <w:rPr>
                <w:lang w:val="en-GB" w:eastAsia="en-US"/>
              </w:rPr>
            </w:pPr>
            <w:r w:rsidRPr="00535A4C">
              <w:rPr>
                <w:sz w:val="22"/>
                <w:szCs w:val="22"/>
                <w:lang w:val="en-GB" w:eastAsia="en-US"/>
              </w:rPr>
              <w:t>24.85</w:t>
            </w:r>
          </w:p>
        </w:tc>
      </w:tr>
      <w:tr w:rsidR="00AB6A88" w:rsidRPr="00535A4C" w14:paraId="342DE61B" w14:textId="77777777" w:rsidTr="00B4225B">
        <w:tc>
          <w:tcPr>
            <w:tcW w:w="0" w:type="auto"/>
            <w:tcBorders>
              <w:top w:val="nil"/>
              <w:left w:val="nil"/>
              <w:bottom w:val="nil"/>
              <w:right w:val="single" w:sz="4" w:space="0" w:color="FFFFFF"/>
            </w:tcBorders>
          </w:tcPr>
          <w:p w14:paraId="6C2C7E8E" w14:textId="77777777" w:rsidR="00AB6A88" w:rsidRPr="00535A4C" w:rsidRDefault="00AB6A88" w:rsidP="00E8204B">
            <w:pPr>
              <w:pStyle w:val="BodyText"/>
              <w:ind w:firstLine="0"/>
              <w:jc w:val="both"/>
              <w:rPr>
                <w:lang w:val="en-GB" w:eastAsia="en-US"/>
              </w:rPr>
            </w:pPr>
            <w:r w:rsidRPr="00535A4C">
              <w:rPr>
                <w:sz w:val="22"/>
                <w:szCs w:val="22"/>
                <w:lang w:val="en-GB" w:eastAsia="en-US"/>
              </w:rPr>
              <w:t>M1*</w:t>
            </w:r>
          </w:p>
        </w:tc>
        <w:tc>
          <w:tcPr>
            <w:tcW w:w="0" w:type="auto"/>
            <w:tcBorders>
              <w:top w:val="nil"/>
              <w:left w:val="single" w:sz="4" w:space="0" w:color="FFFFFF"/>
              <w:bottom w:val="nil"/>
              <w:right w:val="nil"/>
            </w:tcBorders>
          </w:tcPr>
          <w:p w14:paraId="01FFF90A" w14:textId="77777777" w:rsidR="00AB6A88" w:rsidRPr="00535A4C" w:rsidRDefault="00AB6A88" w:rsidP="00A95881">
            <w:pPr>
              <w:pStyle w:val="BodyText"/>
              <w:ind w:firstLine="0"/>
              <w:jc w:val="center"/>
              <w:rPr>
                <w:lang w:val="en-GB" w:eastAsia="en-US"/>
              </w:rPr>
            </w:pPr>
            <w:r w:rsidRPr="00535A4C">
              <w:rPr>
                <w:sz w:val="22"/>
                <w:szCs w:val="22"/>
                <w:lang w:val="en-GB" w:eastAsia="en-US"/>
              </w:rPr>
              <w:t>0.125</w:t>
            </w:r>
          </w:p>
        </w:tc>
        <w:tc>
          <w:tcPr>
            <w:tcW w:w="0" w:type="auto"/>
            <w:tcBorders>
              <w:top w:val="nil"/>
              <w:left w:val="nil"/>
              <w:bottom w:val="nil"/>
              <w:right w:val="nil"/>
            </w:tcBorders>
          </w:tcPr>
          <w:p w14:paraId="54019407" w14:textId="77777777" w:rsidR="00AB6A88" w:rsidRPr="00535A4C" w:rsidRDefault="00AB6A88" w:rsidP="00A95881">
            <w:pPr>
              <w:pStyle w:val="BodyText"/>
              <w:ind w:firstLine="0"/>
              <w:jc w:val="center"/>
              <w:rPr>
                <w:lang w:val="en-GB" w:eastAsia="en-US"/>
              </w:rPr>
            </w:pPr>
            <w:r w:rsidRPr="00535A4C">
              <w:rPr>
                <w:sz w:val="22"/>
                <w:szCs w:val="22"/>
                <w:lang w:val="en-GB" w:eastAsia="en-US"/>
              </w:rPr>
              <w:t>20.77</w:t>
            </w:r>
          </w:p>
        </w:tc>
        <w:tc>
          <w:tcPr>
            <w:tcW w:w="0" w:type="auto"/>
            <w:tcBorders>
              <w:top w:val="nil"/>
              <w:left w:val="nil"/>
              <w:bottom w:val="nil"/>
              <w:right w:val="nil"/>
            </w:tcBorders>
          </w:tcPr>
          <w:p w14:paraId="5B98AE81" w14:textId="77777777" w:rsidR="00AB6A88" w:rsidRPr="00535A4C" w:rsidRDefault="00AB6A88" w:rsidP="00A95881">
            <w:pPr>
              <w:pStyle w:val="BodyText"/>
              <w:ind w:firstLine="0"/>
              <w:jc w:val="center"/>
              <w:rPr>
                <w:lang w:val="en-GB" w:eastAsia="en-US"/>
              </w:rPr>
            </w:pPr>
            <w:r w:rsidRPr="00535A4C">
              <w:rPr>
                <w:sz w:val="22"/>
                <w:szCs w:val="22"/>
                <w:lang w:val="en-GB" w:eastAsia="en-US"/>
              </w:rPr>
              <w:t>1.68</w:t>
            </w:r>
          </w:p>
        </w:tc>
        <w:tc>
          <w:tcPr>
            <w:tcW w:w="0" w:type="auto"/>
            <w:tcBorders>
              <w:top w:val="nil"/>
              <w:left w:val="nil"/>
              <w:bottom w:val="nil"/>
              <w:right w:val="nil"/>
            </w:tcBorders>
          </w:tcPr>
          <w:p w14:paraId="0B6B732B" w14:textId="77777777" w:rsidR="00AB6A88" w:rsidRPr="00535A4C" w:rsidRDefault="00AB6A88" w:rsidP="00A95881">
            <w:pPr>
              <w:pStyle w:val="BodyText"/>
              <w:ind w:firstLine="0"/>
              <w:jc w:val="center"/>
              <w:rPr>
                <w:lang w:val="en-GB" w:eastAsia="en-US"/>
              </w:rPr>
            </w:pPr>
            <w:r w:rsidRPr="00535A4C">
              <w:rPr>
                <w:sz w:val="22"/>
                <w:szCs w:val="22"/>
                <w:lang w:val="en-GB" w:eastAsia="en-US"/>
              </w:rPr>
              <w:t>26.53</w:t>
            </w:r>
          </w:p>
        </w:tc>
      </w:tr>
      <w:tr w:rsidR="00AB6A88" w:rsidRPr="00535A4C" w14:paraId="32A73A34" w14:textId="77777777" w:rsidTr="00B4225B">
        <w:tc>
          <w:tcPr>
            <w:tcW w:w="0" w:type="auto"/>
            <w:tcBorders>
              <w:top w:val="nil"/>
              <w:left w:val="nil"/>
              <w:bottom w:val="nil"/>
              <w:right w:val="single" w:sz="4" w:space="0" w:color="FFFFFF"/>
            </w:tcBorders>
          </w:tcPr>
          <w:p w14:paraId="5FE15719" w14:textId="77777777" w:rsidR="00AB6A88" w:rsidRPr="00535A4C" w:rsidRDefault="00AB6A88" w:rsidP="00E8204B">
            <w:pPr>
              <w:pStyle w:val="BodyText"/>
              <w:ind w:firstLine="0"/>
              <w:jc w:val="both"/>
              <w:rPr>
                <w:lang w:val="en-GB" w:eastAsia="en-US"/>
              </w:rPr>
            </w:pPr>
            <w:r w:rsidRPr="00535A4C">
              <w:rPr>
                <w:sz w:val="22"/>
                <w:szCs w:val="22"/>
                <w:lang w:val="en-GB" w:eastAsia="en-US"/>
              </w:rPr>
              <w:t>EXPP*</w:t>
            </w:r>
          </w:p>
        </w:tc>
        <w:tc>
          <w:tcPr>
            <w:tcW w:w="0" w:type="auto"/>
            <w:tcBorders>
              <w:top w:val="nil"/>
              <w:left w:val="single" w:sz="4" w:space="0" w:color="FFFFFF"/>
              <w:bottom w:val="nil"/>
              <w:right w:val="nil"/>
            </w:tcBorders>
          </w:tcPr>
          <w:p w14:paraId="62D74A3F" w14:textId="77777777" w:rsidR="00AB6A88" w:rsidRPr="00535A4C" w:rsidRDefault="00AB6A88" w:rsidP="00A95881">
            <w:pPr>
              <w:pStyle w:val="BodyText"/>
              <w:ind w:firstLine="0"/>
              <w:jc w:val="center"/>
              <w:rPr>
                <w:lang w:val="en-GB" w:eastAsia="en-US"/>
              </w:rPr>
            </w:pPr>
            <w:r w:rsidRPr="00535A4C">
              <w:rPr>
                <w:sz w:val="22"/>
                <w:szCs w:val="22"/>
                <w:lang w:val="en-GB" w:eastAsia="en-US"/>
              </w:rPr>
              <w:t>0.176</w:t>
            </w:r>
          </w:p>
        </w:tc>
        <w:tc>
          <w:tcPr>
            <w:tcW w:w="0" w:type="auto"/>
            <w:tcBorders>
              <w:top w:val="nil"/>
              <w:left w:val="nil"/>
              <w:bottom w:val="nil"/>
              <w:right w:val="nil"/>
            </w:tcBorders>
          </w:tcPr>
          <w:p w14:paraId="78484FDD" w14:textId="77777777" w:rsidR="00AB6A88" w:rsidRPr="00535A4C" w:rsidRDefault="00AB6A88" w:rsidP="00A95881">
            <w:pPr>
              <w:pStyle w:val="BodyText"/>
              <w:ind w:firstLine="0"/>
              <w:jc w:val="center"/>
              <w:rPr>
                <w:lang w:val="en-GB" w:eastAsia="en-US"/>
              </w:rPr>
            </w:pPr>
            <w:r w:rsidRPr="00535A4C">
              <w:rPr>
                <w:sz w:val="22"/>
                <w:szCs w:val="22"/>
                <w:lang w:val="en-GB" w:eastAsia="en-US"/>
              </w:rPr>
              <w:t>20.31</w:t>
            </w:r>
          </w:p>
        </w:tc>
        <w:tc>
          <w:tcPr>
            <w:tcW w:w="0" w:type="auto"/>
            <w:tcBorders>
              <w:top w:val="nil"/>
              <w:left w:val="nil"/>
              <w:bottom w:val="nil"/>
              <w:right w:val="nil"/>
            </w:tcBorders>
          </w:tcPr>
          <w:p w14:paraId="092CD098" w14:textId="77777777" w:rsidR="00AB6A88" w:rsidRPr="00535A4C" w:rsidRDefault="00AB6A88" w:rsidP="00A95881">
            <w:pPr>
              <w:pStyle w:val="BodyText"/>
              <w:ind w:firstLine="0"/>
              <w:jc w:val="center"/>
              <w:rPr>
                <w:lang w:val="en-GB" w:eastAsia="en-US"/>
              </w:rPr>
            </w:pPr>
            <w:r w:rsidRPr="00535A4C">
              <w:rPr>
                <w:sz w:val="22"/>
                <w:szCs w:val="22"/>
                <w:lang w:val="en-GB" w:eastAsia="en-US"/>
              </w:rPr>
              <w:t>1.64</w:t>
            </w:r>
          </w:p>
        </w:tc>
        <w:tc>
          <w:tcPr>
            <w:tcW w:w="0" w:type="auto"/>
            <w:tcBorders>
              <w:top w:val="nil"/>
              <w:left w:val="nil"/>
              <w:bottom w:val="nil"/>
              <w:right w:val="nil"/>
            </w:tcBorders>
          </w:tcPr>
          <w:p w14:paraId="174AFBB6" w14:textId="77777777" w:rsidR="00AB6A88" w:rsidRPr="00535A4C" w:rsidRDefault="00AB6A88" w:rsidP="00A95881">
            <w:pPr>
              <w:pStyle w:val="BodyText"/>
              <w:ind w:firstLine="0"/>
              <w:jc w:val="center"/>
              <w:rPr>
                <w:lang w:val="en-GB" w:eastAsia="en-US"/>
              </w:rPr>
            </w:pPr>
            <w:r w:rsidRPr="00535A4C">
              <w:rPr>
                <w:sz w:val="22"/>
                <w:szCs w:val="22"/>
                <w:lang w:val="en-GB" w:eastAsia="en-US"/>
              </w:rPr>
              <w:t>28.17</w:t>
            </w:r>
          </w:p>
        </w:tc>
      </w:tr>
      <w:tr w:rsidR="00AB6A88" w:rsidRPr="00535A4C" w14:paraId="2431C3F3" w14:textId="77777777" w:rsidTr="00B4225B">
        <w:tc>
          <w:tcPr>
            <w:tcW w:w="0" w:type="auto"/>
            <w:tcBorders>
              <w:top w:val="nil"/>
              <w:left w:val="nil"/>
              <w:bottom w:val="nil"/>
              <w:right w:val="single" w:sz="4" w:space="0" w:color="FFFFFF"/>
            </w:tcBorders>
          </w:tcPr>
          <w:p w14:paraId="5470A280" w14:textId="77777777" w:rsidR="00AB6A88" w:rsidRPr="00535A4C" w:rsidRDefault="00AB6A88" w:rsidP="00E8204B">
            <w:pPr>
              <w:pStyle w:val="BodyText"/>
              <w:ind w:firstLine="0"/>
              <w:jc w:val="both"/>
              <w:rPr>
                <w:lang w:val="en-GB" w:eastAsia="en-US"/>
              </w:rPr>
            </w:pPr>
            <w:r w:rsidRPr="00535A4C">
              <w:rPr>
                <w:sz w:val="22"/>
                <w:szCs w:val="22"/>
                <w:lang w:val="en-GB" w:eastAsia="en-US"/>
              </w:rPr>
              <w:lastRenderedPageBreak/>
              <w:t>DR*</w:t>
            </w:r>
          </w:p>
        </w:tc>
        <w:tc>
          <w:tcPr>
            <w:tcW w:w="0" w:type="auto"/>
            <w:tcBorders>
              <w:top w:val="nil"/>
              <w:left w:val="single" w:sz="4" w:space="0" w:color="FFFFFF"/>
              <w:bottom w:val="nil"/>
              <w:right w:val="nil"/>
            </w:tcBorders>
          </w:tcPr>
          <w:p w14:paraId="0016D887" w14:textId="77777777" w:rsidR="00AB6A88" w:rsidRPr="00535A4C" w:rsidRDefault="00AB6A88" w:rsidP="00A95881">
            <w:pPr>
              <w:pStyle w:val="BodyText"/>
              <w:ind w:firstLine="0"/>
              <w:jc w:val="center"/>
              <w:rPr>
                <w:lang w:val="en-GB" w:eastAsia="en-US"/>
              </w:rPr>
            </w:pPr>
            <w:r w:rsidRPr="00535A4C">
              <w:rPr>
                <w:sz w:val="22"/>
                <w:szCs w:val="22"/>
                <w:lang w:val="en-GB" w:eastAsia="en-US"/>
              </w:rPr>
              <w:t>0.176</w:t>
            </w:r>
          </w:p>
        </w:tc>
        <w:tc>
          <w:tcPr>
            <w:tcW w:w="0" w:type="auto"/>
            <w:tcBorders>
              <w:top w:val="nil"/>
              <w:left w:val="nil"/>
              <w:bottom w:val="nil"/>
              <w:right w:val="nil"/>
            </w:tcBorders>
          </w:tcPr>
          <w:p w14:paraId="077D6639" w14:textId="77777777" w:rsidR="00AB6A88" w:rsidRPr="00535A4C" w:rsidRDefault="00AB6A88" w:rsidP="00A95881">
            <w:pPr>
              <w:pStyle w:val="BodyText"/>
              <w:ind w:firstLine="0"/>
              <w:jc w:val="center"/>
              <w:rPr>
                <w:lang w:val="en-GB" w:eastAsia="en-US"/>
              </w:rPr>
            </w:pPr>
            <w:r w:rsidRPr="00535A4C">
              <w:rPr>
                <w:sz w:val="22"/>
                <w:szCs w:val="22"/>
                <w:lang w:val="en-GB" w:eastAsia="en-US"/>
              </w:rPr>
              <w:t>20.19</w:t>
            </w:r>
          </w:p>
        </w:tc>
        <w:tc>
          <w:tcPr>
            <w:tcW w:w="0" w:type="auto"/>
            <w:tcBorders>
              <w:top w:val="nil"/>
              <w:left w:val="nil"/>
              <w:bottom w:val="nil"/>
              <w:right w:val="nil"/>
            </w:tcBorders>
          </w:tcPr>
          <w:p w14:paraId="70C74E81" w14:textId="77777777" w:rsidR="00AB6A88" w:rsidRPr="00535A4C" w:rsidRDefault="00AB6A88" w:rsidP="00A95881">
            <w:pPr>
              <w:pStyle w:val="BodyText"/>
              <w:ind w:firstLine="0"/>
              <w:jc w:val="center"/>
              <w:rPr>
                <w:lang w:val="en-GB" w:eastAsia="en-US"/>
              </w:rPr>
            </w:pPr>
            <w:r w:rsidRPr="00535A4C">
              <w:rPr>
                <w:sz w:val="22"/>
                <w:szCs w:val="22"/>
                <w:lang w:val="en-GB" w:eastAsia="en-US"/>
              </w:rPr>
              <w:t>1.63</w:t>
            </w:r>
          </w:p>
        </w:tc>
        <w:tc>
          <w:tcPr>
            <w:tcW w:w="0" w:type="auto"/>
            <w:tcBorders>
              <w:top w:val="nil"/>
              <w:left w:val="nil"/>
              <w:bottom w:val="nil"/>
              <w:right w:val="nil"/>
            </w:tcBorders>
          </w:tcPr>
          <w:p w14:paraId="291BA265" w14:textId="77777777" w:rsidR="00AB6A88" w:rsidRPr="00535A4C" w:rsidRDefault="00AB6A88" w:rsidP="00A95881">
            <w:pPr>
              <w:pStyle w:val="BodyText"/>
              <w:ind w:firstLine="0"/>
              <w:jc w:val="center"/>
              <w:rPr>
                <w:lang w:val="en-GB" w:eastAsia="en-US"/>
              </w:rPr>
            </w:pPr>
            <w:r w:rsidRPr="00535A4C">
              <w:rPr>
                <w:sz w:val="22"/>
                <w:szCs w:val="22"/>
                <w:lang w:val="en-GB" w:eastAsia="en-US"/>
              </w:rPr>
              <w:t>29.8</w:t>
            </w:r>
          </w:p>
        </w:tc>
      </w:tr>
      <w:tr w:rsidR="00AB6A88" w:rsidRPr="00535A4C" w14:paraId="4B903517" w14:textId="77777777" w:rsidTr="00B4225B">
        <w:tc>
          <w:tcPr>
            <w:tcW w:w="0" w:type="auto"/>
            <w:tcBorders>
              <w:top w:val="nil"/>
              <w:left w:val="nil"/>
              <w:bottom w:val="nil"/>
              <w:right w:val="single" w:sz="4" w:space="0" w:color="FFFFFF"/>
            </w:tcBorders>
          </w:tcPr>
          <w:p w14:paraId="24371127" w14:textId="77777777" w:rsidR="00AB6A88" w:rsidRPr="00535A4C" w:rsidRDefault="00994302" w:rsidP="00E8204B">
            <w:pPr>
              <w:pStyle w:val="BodyText"/>
              <w:ind w:firstLine="0"/>
              <w:jc w:val="both"/>
              <w:rPr>
                <w:lang w:val="en-GB" w:eastAsia="en-US"/>
              </w:rPr>
            </w:pPr>
            <w:r w:rsidRPr="00535A4C">
              <w:rPr>
                <w:sz w:val="22"/>
                <w:szCs w:val="22"/>
                <w:lang w:val="en-GB" w:eastAsia="en-US"/>
              </w:rPr>
              <w:t>NIR</w:t>
            </w:r>
            <w:r w:rsidR="00AB6A88" w:rsidRPr="00535A4C">
              <w:rPr>
                <w:sz w:val="22"/>
                <w:szCs w:val="22"/>
                <w:lang w:val="en-GB" w:eastAsia="en-US"/>
              </w:rPr>
              <w:t>6*</w:t>
            </w:r>
          </w:p>
        </w:tc>
        <w:tc>
          <w:tcPr>
            <w:tcW w:w="0" w:type="auto"/>
            <w:tcBorders>
              <w:top w:val="nil"/>
              <w:left w:val="single" w:sz="4" w:space="0" w:color="FFFFFF"/>
              <w:bottom w:val="nil"/>
              <w:right w:val="nil"/>
            </w:tcBorders>
          </w:tcPr>
          <w:p w14:paraId="6F99D0C5" w14:textId="77777777" w:rsidR="00AB6A88" w:rsidRPr="00535A4C" w:rsidRDefault="00AB6A88" w:rsidP="00A95881">
            <w:pPr>
              <w:pStyle w:val="BodyText"/>
              <w:ind w:firstLine="0"/>
              <w:jc w:val="center"/>
              <w:rPr>
                <w:lang w:val="en-GB" w:eastAsia="en-US"/>
              </w:rPr>
            </w:pPr>
            <w:r w:rsidRPr="00535A4C">
              <w:rPr>
                <w:sz w:val="22"/>
                <w:szCs w:val="22"/>
                <w:lang w:val="en-GB" w:eastAsia="en-US"/>
              </w:rPr>
              <w:t>0.202</w:t>
            </w:r>
          </w:p>
        </w:tc>
        <w:tc>
          <w:tcPr>
            <w:tcW w:w="0" w:type="auto"/>
            <w:tcBorders>
              <w:top w:val="nil"/>
              <w:left w:val="nil"/>
              <w:bottom w:val="nil"/>
              <w:right w:val="nil"/>
            </w:tcBorders>
          </w:tcPr>
          <w:p w14:paraId="7AEAF9F8" w14:textId="77777777" w:rsidR="00AB6A88" w:rsidRPr="00535A4C" w:rsidRDefault="00AB6A88" w:rsidP="00A95881">
            <w:pPr>
              <w:pStyle w:val="BodyText"/>
              <w:ind w:firstLine="0"/>
              <w:jc w:val="center"/>
              <w:rPr>
                <w:lang w:val="en-GB" w:eastAsia="en-US"/>
              </w:rPr>
            </w:pPr>
            <w:r w:rsidRPr="00535A4C">
              <w:rPr>
                <w:sz w:val="22"/>
                <w:szCs w:val="22"/>
                <w:lang w:val="en-GB" w:eastAsia="en-US"/>
              </w:rPr>
              <w:t>19.73</w:t>
            </w:r>
          </w:p>
        </w:tc>
        <w:tc>
          <w:tcPr>
            <w:tcW w:w="0" w:type="auto"/>
            <w:tcBorders>
              <w:top w:val="nil"/>
              <w:left w:val="nil"/>
              <w:bottom w:val="nil"/>
              <w:right w:val="nil"/>
            </w:tcBorders>
          </w:tcPr>
          <w:p w14:paraId="23848838" w14:textId="77777777" w:rsidR="00AB6A88" w:rsidRPr="00535A4C" w:rsidRDefault="00AB6A88" w:rsidP="00A95881">
            <w:pPr>
              <w:pStyle w:val="BodyText"/>
              <w:ind w:firstLine="0"/>
              <w:jc w:val="center"/>
              <w:rPr>
                <w:lang w:val="en-GB" w:eastAsia="en-US"/>
              </w:rPr>
            </w:pPr>
            <w:r w:rsidRPr="00535A4C">
              <w:rPr>
                <w:sz w:val="22"/>
                <w:szCs w:val="22"/>
                <w:lang w:val="en-GB" w:eastAsia="en-US"/>
              </w:rPr>
              <w:t>1.60</w:t>
            </w:r>
          </w:p>
        </w:tc>
        <w:tc>
          <w:tcPr>
            <w:tcW w:w="0" w:type="auto"/>
            <w:tcBorders>
              <w:top w:val="nil"/>
              <w:left w:val="nil"/>
              <w:bottom w:val="nil"/>
              <w:right w:val="nil"/>
            </w:tcBorders>
          </w:tcPr>
          <w:p w14:paraId="2E6AA031" w14:textId="77777777" w:rsidR="00AB6A88" w:rsidRPr="00535A4C" w:rsidRDefault="00AB6A88" w:rsidP="00A95881">
            <w:pPr>
              <w:pStyle w:val="BodyText"/>
              <w:ind w:firstLine="0"/>
              <w:jc w:val="center"/>
              <w:rPr>
                <w:lang w:val="en-GB" w:eastAsia="en-US"/>
              </w:rPr>
            </w:pPr>
            <w:r w:rsidRPr="00535A4C">
              <w:rPr>
                <w:sz w:val="22"/>
                <w:szCs w:val="22"/>
                <w:lang w:val="en-GB" w:eastAsia="en-US"/>
              </w:rPr>
              <w:t>31.4</w:t>
            </w:r>
          </w:p>
        </w:tc>
      </w:tr>
      <w:tr w:rsidR="00AB6A88" w:rsidRPr="00535A4C" w14:paraId="3B92467D" w14:textId="77777777" w:rsidTr="00B4225B">
        <w:tc>
          <w:tcPr>
            <w:tcW w:w="0" w:type="auto"/>
            <w:tcBorders>
              <w:top w:val="nil"/>
              <w:left w:val="nil"/>
              <w:bottom w:val="nil"/>
              <w:right w:val="single" w:sz="4" w:space="0" w:color="FFFFFF"/>
            </w:tcBorders>
          </w:tcPr>
          <w:p w14:paraId="7651A385" w14:textId="77777777" w:rsidR="00AB6A88" w:rsidRPr="00535A4C" w:rsidRDefault="00AB6A88" w:rsidP="00E8204B">
            <w:pPr>
              <w:pStyle w:val="BodyText"/>
              <w:ind w:firstLine="0"/>
              <w:jc w:val="both"/>
              <w:rPr>
                <w:lang w:val="en-GB" w:eastAsia="en-US"/>
              </w:rPr>
            </w:pPr>
            <w:r w:rsidRPr="00535A4C">
              <w:rPr>
                <w:sz w:val="22"/>
                <w:szCs w:val="22"/>
                <w:lang w:val="en-GB" w:eastAsia="en-US"/>
              </w:rPr>
              <w:t>EXP3*</w:t>
            </w:r>
          </w:p>
        </w:tc>
        <w:tc>
          <w:tcPr>
            <w:tcW w:w="0" w:type="auto"/>
            <w:tcBorders>
              <w:top w:val="nil"/>
              <w:left w:val="single" w:sz="4" w:space="0" w:color="FFFFFF"/>
              <w:bottom w:val="nil"/>
              <w:right w:val="nil"/>
            </w:tcBorders>
          </w:tcPr>
          <w:p w14:paraId="34FB224C" w14:textId="77777777" w:rsidR="00AB6A88" w:rsidRPr="00535A4C" w:rsidRDefault="00AB6A88" w:rsidP="00A95881">
            <w:pPr>
              <w:pStyle w:val="BodyText"/>
              <w:ind w:firstLine="0"/>
              <w:jc w:val="center"/>
              <w:rPr>
                <w:lang w:val="en-GB" w:eastAsia="en-US"/>
              </w:rPr>
            </w:pPr>
            <w:r w:rsidRPr="00535A4C">
              <w:rPr>
                <w:sz w:val="22"/>
                <w:szCs w:val="22"/>
                <w:lang w:val="en-GB" w:eastAsia="en-US"/>
              </w:rPr>
              <w:t>0.109</w:t>
            </w:r>
          </w:p>
        </w:tc>
        <w:tc>
          <w:tcPr>
            <w:tcW w:w="0" w:type="auto"/>
            <w:tcBorders>
              <w:top w:val="nil"/>
              <w:left w:val="nil"/>
              <w:bottom w:val="nil"/>
              <w:right w:val="nil"/>
            </w:tcBorders>
          </w:tcPr>
          <w:p w14:paraId="215F968D" w14:textId="77777777" w:rsidR="00AB6A88" w:rsidRPr="00535A4C" w:rsidRDefault="00AB6A88" w:rsidP="00A95881">
            <w:pPr>
              <w:pStyle w:val="BodyText"/>
              <w:ind w:firstLine="0"/>
              <w:jc w:val="center"/>
              <w:rPr>
                <w:lang w:val="en-GB" w:eastAsia="en-US"/>
              </w:rPr>
            </w:pPr>
            <w:r w:rsidRPr="00535A4C">
              <w:rPr>
                <w:sz w:val="22"/>
                <w:szCs w:val="22"/>
                <w:lang w:val="en-GB" w:eastAsia="en-US"/>
              </w:rPr>
              <w:t>19.67</w:t>
            </w:r>
          </w:p>
        </w:tc>
        <w:tc>
          <w:tcPr>
            <w:tcW w:w="0" w:type="auto"/>
            <w:tcBorders>
              <w:top w:val="nil"/>
              <w:left w:val="nil"/>
              <w:bottom w:val="nil"/>
              <w:right w:val="nil"/>
            </w:tcBorders>
          </w:tcPr>
          <w:p w14:paraId="6B1F6A00" w14:textId="77777777" w:rsidR="00AB6A88" w:rsidRPr="00535A4C" w:rsidRDefault="00AB6A88" w:rsidP="00A95881">
            <w:pPr>
              <w:pStyle w:val="BodyText"/>
              <w:ind w:firstLine="0"/>
              <w:jc w:val="center"/>
              <w:rPr>
                <w:lang w:val="en-GB" w:eastAsia="en-US"/>
              </w:rPr>
            </w:pPr>
            <w:r w:rsidRPr="00535A4C">
              <w:rPr>
                <w:sz w:val="22"/>
                <w:szCs w:val="22"/>
                <w:lang w:val="en-GB" w:eastAsia="en-US"/>
              </w:rPr>
              <w:t>1.59</w:t>
            </w:r>
          </w:p>
        </w:tc>
        <w:tc>
          <w:tcPr>
            <w:tcW w:w="0" w:type="auto"/>
            <w:tcBorders>
              <w:top w:val="nil"/>
              <w:left w:val="nil"/>
              <w:bottom w:val="nil"/>
              <w:right w:val="nil"/>
            </w:tcBorders>
          </w:tcPr>
          <w:p w14:paraId="2F32667B" w14:textId="77777777" w:rsidR="00AB6A88" w:rsidRPr="00535A4C" w:rsidRDefault="00AB6A88" w:rsidP="00A95881">
            <w:pPr>
              <w:pStyle w:val="BodyText"/>
              <w:ind w:firstLine="0"/>
              <w:jc w:val="center"/>
              <w:rPr>
                <w:lang w:val="en-GB" w:eastAsia="en-US"/>
              </w:rPr>
            </w:pPr>
            <w:r w:rsidRPr="00535A4C">
              <w:rPr>
                <w:sz w:val="22"/>
                <w:szCs w:val="22"/>
                <w:lang w:val="en-GB" w:eastAsia="en-US"/>
              </w:rPr>
              <w:t>32.99</w:t>
            </w:r>
          </w:p>
        </w:tc>
      </w:tr>
      <w:tr w:rsidR="00AB6A88" w:rsidRPr="00535A4C" w14:paraId="3EFC0A7B" w14:textId="77777777" w:rsidTr="00B4225B">
        <w:tc>
          <w:tcPr>
            <w:tcW w:w="0" w:type="auto"/>
            <w:tcBorders>
              <w:top w:val="nil"/>
              <w:left w:val="nil"/>
              <w:bottom w:val="single" w:sz="4" w:space="0" w:color="000000"/>
              <w:right w:val="single" w:sz="4" w:space="0" w:color="FFFFFF"/>
            </w:tcBorders>
          </w:tcPr>
          <w:p w14:paraId="75A70006" w14:textId="77777777" w:rsidR="00AB6A88" w:rsidRPr="00535A4C" w:rsidRDefault="00AB6A88" w:rsidP="00E8204B">
            <w:pPr>
              <w:pStyle w:val="BodyText"/>
              <w:ind w:firstLine="0"/>
              <w:jc w:val="both"/>
              <w:rPr>
                <w:lang w:val="en-GB" w:eastAsia="en-US"/>
              </w:rPr>
            </w:pPr>
            <w:r w:rsidRPr="00535A4C">
              <w:rPr>
                <w:sz w:val="22"/>
                <w:szCs w:val="22"/>
                <w:lang w:val="en-GB" w:eastAsia="en-US"/>
              </w:rPr>
              <w:t>PPG*</w:t>
            </w:r>
          </w:p>
        </w:tc>
        <w:tc>
          <w:tcPr>
            <w:tcW w:w="0" w:type="auto"/>
            <w:tcBorders>
              <w:top w:val="nil"/>
              <w:left w:val="single" w:sz="4" w:space="0" w:color="FFFFFF"/>
              <w:bottom w:val="single" w:sz="4" w:space="0" w:color="000000"/>
              <w:right w:val="nil"/>
            </w:tcBorders>
          </w:tcPr>
          <w:p w14:paraId="22B8E57C" w14:textId="77777777" w:rsidR="00AB6A88" w:rsidRPr="00535A4C" w:rsidRDefault="00AB6A88" w:rsidP="00A95881">
            <w:pPr>
              <w:pStyle w:val="BodyText"/>
              <w:ind w:firstLine="0"/>
              <w:jc w:val="center"/>
              <w:rPr>
                <w:lang w:val="en-GB" w:eastAsia="en-US"/>
              </w:rPr>
            </w:pPr>
            <w:r w:rsidRPr="00535A4C">
              <w:rPr>
                <w:sz w:val="22"/>
                <w:szCs w:val="22"/>
                <w:lang w:val="en-GB" w:eastAsia="en-US"/>
              </w:rPr>
              <w:t>0.203</w:t>
            </w:r>
          </w:p>
        </w:tc>
        <w:tc>
          <w:tcPr>
            <w:tcW w:w="0" w:type="auto"/>
            <w:tcBorders>
              <w:top w:val="nil"/>
              <w:left w:val="nil"/>
              <w:bottom w:val="single" w:sz="4" w:space="0" w:color="000000"/>
              <w:right w:val="nil"/>
            </w:tcBorders>
          </w:tcPr>
          <w:p w14:paraId="2A4890E7" w14:textId="77777777" w:rsidR="00AB6A88" w:rsidRPr="00535A4C" w:rsidRDefault="00AB6A88" w:rsidP="00A95881">
            <w:pPr>
              <w:pStyle w:val="BodyText"/>
              <w:ind w:firstLine="0"/>
              <w:jc w:val="center"/>
              <w:rPr>
                <w:lang w:val="en-GB" w:eastAsia="en-US"/>
              </w:rPr>
            </w:pPr>
            <w:r w:rsidRPr="00535A4C">
              <w:rPr>
                <w:sz w:val="22"/>
                <w:szCs w:val="22"/>
                <w:lang w:val="en-GB" w:eastAsia="en-US"/>
              </w:rPr>
              <w:t>19.65</w:t>
            </w:r>
          </w:p>
        </w:tc>
        <w:tc>
          <w:tcPr>
            <w:tcW w:w="0" w:type="auto"/>
            <w:tcBorders>
              <w:top w:val="nil"/>
              <w:left w:val="nil"/>
              <w:bottom w:val="single" w:sz="4" w:space="0" w:color="000000"/>
              <w:right w:val="nil"/>
            </w:tcBorders>
          </w:tcPr>
          <w:p w14:paraId="3CEBB301" w14:textId="77777777" w:rsidR="00AB6A88" w:rsidRPr="00535A4C" w:rsidRDefault="00AB6A88" w:rsidP="00A95881">
            <w:pPr>
              <w:pStyle w:val="BodyText"/>
              <w:ind w:firstLine="0"/>
              <w:jc w:val="center"/>
              <w:rPr>
                <w:lang w:val="en-GB" w:eastAsia="en-US"/>
              </w:rPr>
            </w:pPr>
            <w:r w:rsidRPr="00535A4C">
              <w:rPr>
                <w:sz w:val="22"/>
                <w:szCs w:val="22"/>
                <w:lang w:val="en-GB" w:eastAsia="en-US"/>
              </w:rPr>
              <w:t>1.59</w:t>
            </w:r>
          </w:p>
        </w:tc>
        <w:tc>
          <w:tcPr>
            <w:tcW w:w="0" w:type="auto"/>
            <w:tcBorders>
              <w:top w:val="nil"/>
              <w:left w:val="nil"/>
              <w:bottom w:val="single" w:sz="4" w:space="0" w:color="000000"/>
              <w:right w:val="nil"/>
            </w:tcBorders>
          </w:tcPr>
          <w:p w14:paraId="393EF2F9" w14:textId="77777777" w:rsidR="00AB6A88" w:rsidRPr="00535A4C" w:rsidRDefault="00AB6A88" w:rsidP="00A95881">
            <w:pPr>
              <w:pStyle w:val="BodyText"/>
              <w:ind w:firstLine="0"/>
              <w:jc w:val="center"/>
              <w:rPr>
                <w:lang w:val="en-GB" w:eastAsia="en-US"/>
              </w:rPr>
            </w:pPr>
            <w:r w:rsidRPr="00535A4C">
              <w:rPr>
                <w:sz w:val="22"/>
                <w:szCs w:val="22"/>
                <w:lang w:val="en-GB" w:eastAsia="en-US"/>
              </w:rPr>
              <w:t>34.58</w:t>
            </w:r>
          </w:p>
        </w:tc>
      </w:tr>
    </w:tbl>
    <w:p w14:paraId="662AEA39" w14:textId="77777777" w:rsidR="00AB6A88" w:rsidRPr="00535A4C" w:rsidRDefault="00AB6A88" w:rsidP="00E8204B">
      <w:pPr>
        <w:pStyle w:val="BodyText"/>
        <w:ind w:firstLine="0"/>
        <w:jc w:val="both"/>
        <w:rPr>
          <w:sz w:val="22"/>
          <w:szCs w:val="22"/>
          <w:lang w:val="en-GB"/>
        </w:rPr>
      </w:pPr>
      <w:r w:rsidRPr="00535A4C">
        <w:rPr>
          <w:sz w:val="22"/>
          <w:szCs w:val="22"/>
          <w:lang w:val="en-GB"/>
        </w:rPr>
        <w:t>Source: Author’s calculation</w:t>
      </w:r>
      <w:r w:rsidR="00CF04F9">
        <w:rPr>
          <w:sz w:val="22"/>
          <w:szCs w:val="22"/>
          <w:lang w:val="en-GB"/>
        </w:rPr>
        <w:t>s</w:t>
      </w:r>
    </w:p>
    <w:p w14:paraId="176868DF" w14:textId="77777777" w:rsidR="00AB6A88" w:rsidRPr="00535A4C" w:rsidRDefault="00AB6A88" w:rsidP="00FB3A8D">
      <w:pPr>
        <w:pStyle w:val="TableNotes"/>
      </w:pPr>
      <w:r w:rsidRPr="00535A4C">
        <w:t xml:space="preserve">Notes.  * </w:t>
      </w:r>
      <w:proofErr w:type="gramStart"/>
      <w:r w:rsidRPr="00535A4C">
        <w:t>patterns</w:t>
      </w:r>
      <w:proofErr w:type="gramEnd"/>
      <w:r w:rsidRPr="00535A4C">
        <w:t xml:space="preserve"> significantly (p &lt; .05)   different from Monte Carlo (1000) simulated red noise </w:t>
      </w:r>
    </w:p>
    <w:p w14:paraId="1B8BF686" w14:textId="77777777" w:rsidR="00AB6A88" w:rsidRPr="00535A4C" w:rsidRDefault="00AB6A88" w:rsidP="00E8204B">
      <w:pPr>
        <w:pStyle w:val="BodyText"/>
        <w:jc w:val="both"/>
        <w:rPr>
          <w:lang w:val="en-GB"/>
        </w:rPr>
      </w:pPr>
    </w:p>
    <w:p w14:paraId="637D3F68" w14:textId="77777777" w:rsidR="00FB3A8D" w:rsidRDefault="00611412" w:rsidP="00E8204B">
      <w:pPr>
        <w:pStyle w:val="BodyText"/>
        <w:jc w:val="both"/>
        <w:rPr>
          <w:lang w:val="en-GB"/>
        </w:rPr>
      </w:pPr>
      <w:r w:rsidRPr="005A5B4E">
        <w:rPr>
          <w:lang w:val="en-GB"/>
        </w:rPr>
        <w:t xml:space="preserve">The </w:t>
      </w:r>
      <w:r w:rsidR="00AB6A88" w:rsidRPr="005A5B4E">
        <w:rPr>
          <w:lang w:val="en-GB"/>
        </w:rPr>
        <w:t xml:space="preserve">patterns </w:t>
      </w:r>
      <w:r w:rsidRPr="005A5B4E">
        <w:rPr>
          <w:lang w:val="en-GB"/>
        </w:rPr>
        <w:t xml:space="preserve">emerging </w:t>
      </w:r>
      <w:r w:rsidR="00AB6A88" w:rsidRPr="005A5B4E">
        <w:rPr>
          <w:lang w:val="en-GB"/>
        </w:rPr>
        <w:t xml:space="preserve">from the table above were reconstructed in the time domain using MSSA for tracing a limit cycle. </w:t>
      </w:r>
      <w:r w:rsidRPr="005A5B4E">
        <w:rPr>
          <w:lang w:val="en-GB"/>
        </w:rPr>
        <w:t xml:space="preserve"> The i</w:t>
      </w:r>
      <w:r w:rsidR="00AB6A88" w:rsidRPr="005A5B4E">
        <w:rPr>
          <w:lang w:val="en-GB"/>
        </w:rPr>
        <w:t xml:space="preserve">dentified cycle has a period of 5-5.5 </w:t>
      </w:r>
      <w:proofErr w:type="gramStart"/>
      <w:r w:rsidR="00AB6A88" w:rsidRPr="005A5B4E">
        <w:rPr>
          <w:lang w:val="en-GB"/>
        </w:rPr>
        <w:t xml:space="preserve">years </w:t>
      </w:r>
      <w:r w:rsidRPr="005A5B4E">
        <w:rPr>
          <w:lang w:val="en-GB"/>
        </w:rPr>
        <w:t xml:space="preserve"> and</w:t>
      </w:r>
      <w:proofErr w:type="gramEnd"/>
      <w:r w:rsidRPr="005A5B4E">
        <w:rPr>
          <w:lang w:val="en-GB"/>
        </w:rPr>
        <w:t xml:space="preserve"> </w:t>
      </w:r>
      <w:r w:rsidR="00AB6A88" w:rsidRPr="005A5B4E">
        <w:rPr>
          <w:lang w:val="en-GB"/>
        </w:rPr>
        <w:t>capt</w:t>
      </w:r>
      <w:r w:rsidRPr="005A5B4E">
        <w:rPr>
          <w:lang w:val="en-GB"/>
        </w:rPr>
        <w:t xml:space="preserve">ures </w:t>
      </w:r>
      <w:r w:rsidR="00AB6A88" w:rsidRPr="005A5B4E">
        <w:rPr>
          <w:lang w:val="en-GB"/>
        </w:rPr>
        <w:t xml:space="preserve"> 34.58% of the total variance. </w:t>
      </w:r>
      <w:r w:rsidRPr="005A5B4E">
        <w:rPr>
          <w:lang w:val="en-GB"/>
        </w:rPr>
        <w:t>The s</w:t>
      </w:r>
      <w:r w:rsidR="00AB6A88" w:rsidRPr="005A5B4E">
        <w:rPr>
          <w:lang w:val="en-GB"/>
        </w:rPr>
        <w:t>ignificant oscillatory components approximat</w:t>
      </w:r>
      <w:r w:rsidRPr="005A5B4E">
        <w:rPr>
          <w:lang w:val="en-GB"/>
        </w:rPr>
        <w:t>e</w:t>
      </w:r>
      <w:r w:rsidR="007B26A3" w:rsidRPr="005A5B4E">
        <w:rPr>
          <w:lang w:val="en-GB"/>
        </w:rPr>
        <w:t xml:space="preserve"> </w:t>
      </w:r>
      <w:r w:rsidRPr="005A5B4E">
        <w:rPr>
          <w:lang w:val="en-GB"/>
        </w:rPr>
        <w:t xml:space="preserve">well </w:t>
      </w:r>
      <w:r w:rsidR="00AB6A88" w:rsidRPr="005A5B4E">
        <w:rPr>
          <w:lang w:val="en-GB"/>
        </w:rPr>
        <w:t xml:space="preserve">the dynamical </w:t>
      </w:r>
      <w:r w:rsidR="00ED3835" w:rsidRPr="005A5B4E">
        <w:rPr>
          <w:lang w:val="en-GB"/>
        </w:rPr>
        <w:t>behaviour</w:t>
      </w:r>
      <w:r w:rsidR="00AB6A88" w:rsidRPr="005A5B4E">
        <w:rPr>
          <w:lang w:val="en-GB"/>
        </w:rPr>
        <w:t xml:space="preserve"> </w:t>
      </w:r>
      <w:r w:rsidRPr="005A5B4E">
        <w:rPr>
          <w:lang w:val="en-GB"/>
        </w:rPr>
        <w:t>of</w:t>
      </w:r>
      <w:r w:rsidR="00AB6A88" w:rsidRPr="005A5B4E">
        <w:rPr>
          <w:lang w:val="en-GB"/>
        </w:rPr>
        <w:t xml:space="preserve"> LR </w:t>
      </w:r>
      <w:r w:rsidR="00CF04F9" w:rsidRPr="005A5B4E">
        <w:rPr>
          <w:lang w:val="en-GB"/>
        </w:rPr>
        <w:t>(see F</w:t>
      </w:r>
      <w:r w:rsidR="00AB6A88" w:rsidRPr="005A5B4E">
        <w:rPr>
          <w:lang w:val="en-GB"/>
        </w:rPr>
        <w:t>igure 11).</w:t>
      </w:r>
      <w:r w:rsidR="00CF04F9" w:rsidRPr="005A5B4E">
        <w:rPr>
          <w:lang w:val="en-GB"/>
        </w:rPr>
        <w:t xml:space="preserve"> </w:t>
      </w:r>
    </w:p>
    <w:p w14:paraId="56F6529F" w14:textId="77777777" w:rsidR="005A5B4E" w:rsidRPr="005A5B4E" w:rsidRDefault="005A5B4E" w:rsidP="00E8204B">
      <w:pPr>
        <w:pStyle w:val="BodyText"/>
        <w:jc w:val="both"/>
        <w:rPr>
          <w:lang w:val="en-GB"/>
        </w:rPr>
      </w:pPr>
    </w:p>
    <w:p w14:paraId="42CC6F6F" w14:textId="77777777" w:rsidR="00FB3A8D" w:rsidRPr="00CF04F9" w:rsidRDefault="00FB3A8D" w:rsidP="00FB3A8D">
      <w:pPr>
        <w:pStyle w:val="FigureCaptionLabel"/>
        <w:rPr>
          <w:b/>
          <w:i w:val="0"/>
        </w:rPr>
      </w:pPr>
      <w:r w:rsidRPr="00CF04F9">
        <w:rPr>
          <w:b/>
          <w:i w:val="0"/>
        </w:rPr>
        <w:t>Insert Figure 11 around here</w:t>
      </w:r>
    </w:p>
    <w:p w14:paraId="37DBCEB7" w14:textId="77777777" w:rsidR="00FB3A8D" w:rsidRPr="00535A4C" w:rsidRDefault="00FB3A8D" w:rsidP="00FB3A8D">
      <w:pPr>
        <w:pStyle w:val="FigureCaptionLabel"/>
      </w:pPr>
    </w:p>
    <w:p w14:paraId="069610B6" w14:textId="77777777" w:rsidR="00AB6A88" w:rsidRPr="00535A4C" w:rsidRDefault="00AB6A88" w:rsidP="00E8204B">
      <w:pPr>
        <w:pStyle w:val="BodyText"/>
        <w:jc w:val="both"/>
        <w:rPr>
          <w:lang w:val="en-GB"/>
        </w:rPr>
      </w:pPr>
      <w:r w:rsidRPr="00535A4C">
        <w:rPr>
          <w:lang w:val="en-GB"/>
        </w:rPr>
        <w:t>Figure 11 show</w:t>
      </w:r>
      <w:r w:rsidR="006B455A" w:rsidRPr="00535A4C">
        <w:rPr>
          <w:lang w:val="en-GB"/>
        </w:rPr>
        <w:t>s</w:t>
      </w:r>
      <w:r w:rsidR="00D40D75">
        <w:rPr>
          <w:lang w:val="en-GB"/>
        </w:rPr>
        <w:t xml:space="preserve"> the reconstructed </w:t>
      </w:r>
      <w:r w:rsidRPr="00535A4C">
        <w:rPr>
          <w:lang w:val="en-GB"/>
        </w:rPr>
        <w:t xml:space="preserve">LR </w:t>
      </w:r>
      <w:r w:rsidR="00D40D75">
        <w:rPr>
          <w:lang w:val="en-GB"/>
        </w:rPr>
        <w:t>seri</w:t>
      </w:r>
      <w:r w:rsidRPr="00535A4C">
        <w:rPr>
          <w:lang w:val="en-GB"/>
        </w:rPr>
        <w:t xml:space="preserve">es using dominant principal components (oscillatory patterns) identified previously with </w:t>
      </w:r>
      <w:r w:rsidR="00D40D75">
        <w:rPr>
          <w:lang w:val="en-GB"/>
        </w:rPr>
        <w:t xml:space="preserve">the </w:t>
      </w:r>
      <w:r w:rsidRPr="00535A4C">
        <w:rPr>
          <w:lang w:val="en-GB"/>
        </w:rPr>
        <w:t>MSSA model (see table 3).</w:t>
      </w:r>
      <w:r w:rsidR="00CF04F9">
        <w:rPr>
          <w:lang w:val="en-GB"/>
        </w:rPr>
        <w:t xml:space="preserve"> The </w:t>
      </w:r>
      <w:r w:rsidR="00D40D75">
        <w:rPr>
          <w:lang w:val="en-GB"/>
        </w:rPr>
        <w:t xml:space="preserve">reconstruction based on </w:t>
      </w:r>
      <w:r w:rsidR="00CF04F9">
        <w:rPr>
          <w:lang w:val="en-GB"/>
        </w:rPr>
        <w:t xml:space="preserve">the </w:t>
      </w:r>
      <w:r w:rsidRPr="00535A4C">
        <w:rPr>
          <w:lang w:val="en-GB"/>
        </w:rPr>
        <w:t xml:space="preserve">MSSA components </w:t>
      </w:r>
      <w:r w:rsidRPr="00535A4C">
        <w:rPr>
          <w:i/>
          <w:lang w:val="en-GB"/>
        </w:rPr>
        <w:t>1</w:t>
      </w:r>
      <w:r w:rsidRPr="00535A4C">
        <w:rPr>
          <w:lang w:val="en-GB"/>
        </w:rPr>
        <w:t xml:space="preserve">(LR), </w:t>
      </w:r>
      <w:r w:rsidRPr="00535A4C">
        <w:rPr>
          <w:i/>
          <w:lang w:val="en-GB"/>
        </w:rPr>
        <w:t>2</w:t>
      </w:r>
      <w:r w:rsidRPr="00535A4C">
        <w:rPr>
          <w:lang w:val="en-GB"/>
        </w:rPr>
        <w:t xml:space="preserve">(LCPI), </w:t>
      </w:r>
      <w:r w:rsidRPr="00535A4C">
        <w:rPr>
          <w:i/>
          <w:lang w:val="en-GB"/>
        </w:rPr>
        <w:t>3</w:t>
      </w:r>
      <w:r w:rsidRPr="00535A4C">
        <w:rPr>
          <w:lang w:val="en-GB"/>
        </w:rPr>
        <w:t>(RORK</w:t>
      </w:r>
      <w:r w:rsidR="00994302" w:rsidRPr="00535A4C">
        <w:rPr>
          <w:lang w:val="en-GB"/>
        </w:rPr>
        <w:t xml:space="preserve">2), </w:t>
      </w:r>
      <w:r w:rsidR="00994302" w:rsidRPr="00535A4C">
        <w:rPr>
          <w:i/>
          <w:lang w:val="en-GB"/>
        </w:rPr>
        <w:t>4</w:t>
      </w:r>
      <w:r w:rsidR="00994302" w:rsidRPr="00535A4C">
        <w:rPr>
          <w:lang w:val="en-GB"/>
        </w:rPr>
        <w:t xml:space="preserve">(M1), </w:t>
      </w:r>
      <w:r w:rsidR="00994302" w:rsidRPr="00535A4C">
        <w:rPr>
          <w:i/>
          <w:lang w:val="en-GB"/>
        </w:rPr>
        <w:t>5</w:t>
      </w:r>
      <w:r w:rsidR="00994302" w:rsidRPr="00535A4C">
        <w:rPr>
          <w:lang w:val="en-GB"/>
        </w:rPr>
        <w:t xml:space="preserve">(EXPP), </w:t>
      </w:r>
      <w:r w:rsidR="00994302" w:rsidRPr="00535A4C">
        <w:rPr>
          <w:i/>
          <w:lang w:val="en-GB"/>
        </w:rPr>
        <w:t>6</w:t>
      </w:r>
      <w:r w:rsidR="00994302" w:rsidRPr="00535A4C">
        <w:rPr>
          <w:lang w:val="en-GB"/>
        </w:rPr>
        <w:t xml:space="preserve">(DR), </w:t>
      </w:r>
      <w:r w:rsidR="00994302" w:rsidRPr="00535A4C">
        <w:rPr>
          <w:i/>
          <w:lang w:val="en-GB"/>
        </w:rPr>
        <w:t>7</w:t>
      </w:r>
      <w:r w:rsidR="00994302" w:rsidRPr="00535A4C">
        <w:rPr>
          <w:lang w:val="en-GB"/>
        </w:rPr>
        <w:t>(NIR</w:t>
      </w:r>
      <w:r w:rsidRPr="00535A4C">
        <w:rPr>
          <w:lang w:val="en-GB"/>
        </w:rPr>
        <w:t xml:space="preserve">6), </w:t>
      </w:r>
      <w:r w:rsidRPr="00535A4C">
        <w:rPr>
          <w:i/>
          <w:lang w:val="en-GB"/>
        </w:rPr>
        <w:t>8</w:t>
      </w:r>
      <w:r w:rsidRPr="00535A4C">
        <w:rPr>
          <w:lang w:val="en-GB"/>
        </w:rPr>
        <w:t xml:space="preserve">(EXP3), </w:t>
      </w:r>
      <w:r w:rsidRPr="00535A4C">
        <w:rPr>
          <w:i/>
          <w:lang w:val="en-GB"/>
        </w:rPr>
        <w:t>9</w:t>
      </w:r>
      <w:r w:rsidRPr="00535A4C">
        <w:rPr>
          <w:lang w:val="en-GB"/>
        </w:rPr>
        <w:t>(PPG) explain</w:t>
      </w:r>
      <w:r w:rsidR="00CF04F9">
        <w:rPr>
          <w:lang w:val="en-GB"/>
        </w:rPr>
        <w:t>s</w:t>
      </w:r>
      <w:r w:rsidRPr="00535A4C">
        <w:rPr>
          <w:lang w:val="en-GB"/>
        </w:rPr>
        <w:t xml:space="preserve"> </w:t>
      </w:r>
      <w:r w:rsidR="00D40D75">
        <w:rPr>
          <w:lang w:val="en-GB"/>
        </w:rPr>
        <w:t xml:space="preserve">well </w:t>
      </w:r>
      <w:r w:rsidR="00CF04F9">
        <w:rPr>
          <w:lang w:val="en-GB"/>
        </w:rPr>
        <w:t xml:space="preserve">the </w:t>
      </w:r>
      <w:r w:rsidRPr="00535A4C">
        <w:rPr>
          <w:lang w:val="en-GB"/>
        </w:rPr>
        <w:t>fluctuations in long-term bond yie</w:t>
      </w:r>
      <w:r w:rsidR="00D40D75">
        <w:rPr>
          <w:lang w:val="en-GB"/>
        </w:rPr>
        <w:t xml:space="preserve">lds. Changes in prices </w:t>
      </w:r>
      <w:r w:rsidRPr="00535A4C">
        <w:rPr>
          <w:lang w:val="en-GB"/>
        </w:rPr>
        <w:t xml:space="preserve">and lagged interest rates </w:t>
      </w:r>
      <w:r w:rsidR="00CF04F9">
        <w:rPr>
          <w:lang w:val="en-GB"/>
        </w:rPr>
        <w:t xml:space="preserve">account for most </w:t>
      </w:r>
      <w:r w:rsidRPr="00535A4C">
        <w:rPr>
          <w:lang w:val="en-GB"/>
        </w:rPr>
        <w:t>of the va</w:t>
      </w:r>
      <w:r w:rsidR="00CF04F9">
        <w:rPr>
          <w:lang w:val="en-GB"/>
        </w:rPr>
        <w:t>riance of the LR series. The r</w:t>
      </w:r>
      <w:r w:rsidRPr="00535A4C">
        <w:rPr>
          <w:lang w:val="en-GB"/>
        </w:rPr>
        <w:t xml:space="preserve">eturn on capital and money supply eigenvalues do not differ significantly from other dominant eigenvalues. In fact, they capture approximately </w:t>
      </w:r>
      <w:r w:rsidR="00CF04F9">
        <w:rPr>
          <w:lang w:val="en-GB"/>
        </w:rPr>
        <w:t xml:space="preserve">a </w:t>
      </w:r>
      <w:r w:rsidR="000224E0" w:rsidRPr="00535A4C">
        <w:rPr>
          <w:lang w:val="en-GB"/>
        </w:rPr>
        <w:t>similar</w:t>
      </w:r>
      <w:r w:rsidRPr="00535A4C">
        <w:rPr>
          <w:lang w:val="en-GB"/>
        </w:rPr>
        <w:t xml:space="preserve"> p</w:t>
      </w:r>
      <w:r w:rsidR="00CF04F9">
        <w:rPr>
          <w:lang w:val="en-GB"/>
        </w:rPr>
        <w:t>ercentage of the total variance. The e</w:t>
      </w:r>
      <w:r w:rsidRPr="00535A4C">
        <w:rPr>
          <w:lang w:val="en-GB"/>
        </w:rPr>
        <w:t xml:space="preserve">xpected profit rate, expected inflation and </w:t>
      </w:r>
      <w:r w:rsidR="00CF04F9">
        <w:rPr>
          <w:lang w:val="en-GB"/>
        </w:rPr>
        <w:t xml:space="preserve">the </w:t>
      </w:r>
      <w:r w:rsidRPr="00535A4C">
        <w:rPr>
          <w:lang w:val="en-GB"/>
        </w:rPr>
        <w:t xml:space="preserve">natural interest rate oscillatory movements </w:t>
      </w:r>
      <w:r w:rsidR="00CF04F9">
        <w:rPr>
          <w:lang w:val="en-GB"/>
        </w:rPr>
        <w:t xml:space="preserve">account for some of the </w:t>
      </w:r>
      <w:r w:rsidRPr="00535A4C">
        <w:rPr>
          <w:lang w:val="en-GB"/>
        </w:rPr>
        <w:t xml:space="preserve">fluctuations in </w:t>
      </w:r>
      <w:r w:rsidR="00CF04F9">
        <w:rPr>
          <w:lang w:val="en-GB"/>
        </w:rPr>
        <w:t>b</w:t>
      </w:r>
      <w:r w:rsidRPr="00535A4C">
        <w:rPr>
          <w:lang w:val="en-GB"/>
        </w:rPr>
        <w:t>ond yield</w:t>
      </w:r>
      <w:r w:rsidR="00CF04F9">
        <w:rPr>
          <w:lang w:val="en-GB"/>
        </w:rPr>
        <w:t>s. Changes in p</w:t>
      </w:r>
      <w:r w:rsidRPr="00535A4C">
        <w:rPr>
          <w:lang w:val="en-GB"/>
        </w:rPr>
        <w:t xml:space="preserve">urchasing power and </w:t>
      </w:r>
      <w:r w:rsidR="00CF04F9">
        <w:rPr>
          <w:lang w:val="en-GB"/>
        </w:rPr>
        <w:t xml:space="preserve">the </w:t>
      </w:r>
      <w:r w:rsidRPr="00535A4C">
        <w:rPr>
          <w:lang w:val="en-GB"/>
        </w:rPr>
        <w:t xml:space="preserve">DNB official discount rate </w:t>
      </w:r>
      <w:r w:rsidR="00CF04F9">
        <w:rPr>
          <w:lang w:val="en-GB"/>
        </w:rPr>
        <w:t>also play a role</w:t>
      </w:r>
      <w:r w:rsidRPr="00535A4C">
        <w:rPr>
          <w:lang w:val="en-GB"/>
        </w:rPr>
        <w:t xml:space="preserve">. Comparing </w:t>
      </w:r>
      <w:r w:rsidR="00CF04F9">
        <w:rPr>
          <w:lang w:val="en-GB"/>
        </w:rPr>
        <w:t xml:space="preserve">the </w:t>
      </w:r>
      <w:r w:rsidRPr="00535A4C">
        <w:rPr>
          <w:lang w:val="en-GB"/>
        </w:rPr>
        <w:t>reconstructed series with the or</w:t>
      </w:r>
      <w:r w:rsidR="00CF04F9">
        <w:rPr>
          <w:lang w:val="en-GB"/>
        </w:rPr>
        <w:t xml:space="preserve">iginal pre-processed LR series (see Figure 11), </w:t>
      </w:r>
      <w:r w:rsidRPr="00535A4C">
        <w:rPr>
          <w:lang w:val="en-GB"/>
        </w:rPr>
        <w:t xml:space="preserve">several </w:t>
      </w:r>
      <w:r w:rsidR="00CF04F9">
        <w:rPr>
          <w:lang w:val="en-GB"/>
        </w:rPr>
        <w:t xml:space="preserve">points </w:t>
      </w:r>
      <w:r w:rsidRPr="00535A4C">
        <w:rPr>
          <w:lang w:val="en-GB"/>
        </w:rPr>
        <w:t xml:space="preserve">emerge. </w:t>
      </w:r>
      <w:r w:rsidR="005A5B4E" w:rsidRPr="005A5B4E">
        <w:rPr>
          <w:lang w:val="en-GB"/>
        </w:rPr>
        <w:t xml:space="preserve">Structural shocks, breaks in the series </w:t>
      </w:r>
      <w:r w:rsidR="008D00E5" w:rsidRPr="005A5B4E">
        <w:rPr>
          <w:lang w:val="en-GB"/>
        </w:rPr>
        <w:t xml:space="preserve">such as </w:t>
      </w:r>
      <w:r w:rsidR="00611412" w:rsidRPr="005A5B4E">
        <w:rPr>
          <w:lang w:val="en-GB"/>
        </w:rPr>
        <w:t xml:space="preserve">the creation of </w:t>
      </w:r>
      <w:r w:rsidRPr="005A5B4E">
        <w:rPr>
          <w:lang w:val="en-GB"/>
        </w:rPr>
        <w:t xml:space="preserve">De Netherlands Bank </w:t>
      </w:r>
      <w:r w:rsidR="008D00E5" w:rsidRPr="005A5B4E">
        <w:rPr>
          <w:lang w:val="en-GB"/>
        </w:rPr>
        <w:lastRenderedPageBreak/>
        <w:t>(1814)</w:t>
      </w:r>
      <w:r w:rsidRPr="005A5B4E">
        <w:rPr>
          <w:lang w:val="en-GB"/>
        </w:rPr>
        <w:t xml:space="preserve">, followed by </w:t>
      </w:r>
      <w:r w:rsidR="00611412" w:rsidRPr="005A5B4E">
        <w:rPr>
          <w:lang w:val="en-GB"/>
        </w:rPr>
        <w:t xml:space="preserve">the 1831 </w:t>
      </w:r>
      <w:r w:rsidRPr="005A5B4E">
        <w:rPr>
          <w:lang w:val="en-GB"/>
        </w:rPr>
        <w:t xml:space="preserve">Belgium crisis, </w:t>
      </w:r>
      <w:r w:rsidR="00611412" w:rsidRPr="005A5B4E">
        <w:rPr>
          <w:lang w:val="en-GB"/>
        </w:rPr>
        <w:t xml:space="preserve">the </w:t>
      </w:r>
      <w:r w:rsidRPr="005A5B4E">
        <w:rPr>
          <w:lang w:val="en-GB"/>
        </w:rPr>
        <w:t>industrial development phase</w:t>
      </w:r>
      <w:r w:rsidR="008D00E5" w:rsidRPr="005A5B4E">
        <w:rPr>
          <w:lang w:val="en-GB"/>
        </w:rPr>
        <w:t xml:space="preserve"> </w:t>
      </w:r>
      <w:r w:rsidR="00611412" w:rsidRPr="005A5B4E">
        <w:rPr>
          <w:lang w:val="en-GB"/>
        </w:rPr>
        <w:t xml:space="preserve">starting in 1848, the </w:t>
      </w:r>
      <w:r w:rsidRPr="005A5B4E">
        <w:rPr>
          <w:lang w:val="en-GB"/>
        </w:rPr>
        <w:t>prosperity phase</w:t>
      </w:r>
      <w:r w:rsidR="008D00E5" w:rsidRPr="005A5B4E">
        <w:rPr>
          <w:lang w:val="en-GB"/>
        </w:rPr>
        <w:t xml:space="preserve"> </w:t>
      </w:r>
      <w:r w:rsidR="00611412" w:rsidRPr="005A5B4E">
        <w:rPr>
          <w:lang w:val="en-GB"/>
        </w:rPr>
        <w:t xml:space="preserve">starting in </w:t>
      </w:r>
      <w:r w:rsidR="008D00E5" w:rsidRPr="005A5B4E">
        <w:rPr>
          <w:lang w:val="en-GB"/>
        </w:rPr>
        <w:t>1920</w:t>
      </w:r>
      <w:r w:rsidRPr="005A5B4E">
        <w:rPr>
          <w:lang w:val="en-GB"/>
        </w:rPr>
        <w:t xml:space="preserve"> the end of the golden age</w:t>
      </w:r>
      <w:r w:rsidR="008D00E5" w:rsidRPr="005A5B4E">
        <w:rPr>
          <w:lang w:val="en-GB"/>
        </w:rPr>
        <w:t xml:space="preserve"> </w:t>
      </w:r>
      <w:r w:rsidR="00611412" w:rsidRPr="005A5B4E">
        <w:rPr>
          <w:lang w:val="en-GB"/>
        </w:rPr>
        <w:t xml:space="preserve">in </w:t>
      </w:r>
      <w:r w:rsidR="008D00E5" w:rsidRPr="005A5B4E">
        <w:rPr>
          <w:lang w:val="en-GB"/>
        </w:rPr>
        <w:t>1974</w:t>
      </w:r>
      <w:r w:rsidRPr="005A5B4E">
        <w:rPr>
          <w:lang w:val="en-GB"/>
        </w:rPr>
        <w:t xml:space="preserve">, </w:t>
      </w:r>
      <w:r w:rsidR="00611412" w:rsidRPr="005A5B4E">
        <w:rPr>
          <w:lang w:val="en-GB"/>
        </w:rPr>
        <w:t xml:space="preserve">the </w:t>
      </w:r>
      <w:r w:rsidRPr="005A5B4E">
        <w:rPr>
          <w:lang w:val="en-GB"/>
        </w:rPr>
        <w:t xml:space="preserve">first </w:t>
      </w:r>
      <w:r w:rsidR="00611412" w:rsidRPr="005A5B4E">
        <w:rPr>
          <w:lang w:val="en-GB"/>
        </w:rPr>
        <w:t xml:space="preserve">and the second </w:t>
      </w:r>
      <w:r w:rsidRPr="005A5B4E">
        <w:rPr>
          <w:lang w:val="en-GB"/>
        </w:rPr>
        <w:t>crisis under the EMS regime</w:t>
      </w:r>
      <w:r w:rsidR="008D00E5" w:rsidRPr="005A5B4E">
        <w:rPr>
          <w:lang w:val="en-GB"/>
        </w:rPr>
        <w:t xml:space="preserve"> (1981</w:t>
      </w:r>
      <w:r w:rsidR="00611412" w:rsidRPr="005A5B4E">
        <w:rPr>
          <w:lang w:val="en-GB"/>
        </w:rPr>
        <w:t xml:space="preserve"> and 1990 respectively</w:t>
      </w:r>
      <w:r w:rsidR="008D00E5" w:rsidRPr="005A5B4E">
        <w:rPr>
          <w:lang w:val="en-GB"/>
        </w:rPr>
        <w:t>)</w:t>
      </w:r>
      <w:proofErr w:type="gramStart"/>
      <w:r w:rsidRPr="005A5B4E">
        <w:rPr>
          <w:lang w:val="en-GB"/>
        </w:rPr>
        <w:t xml:space="preserve">, </w:t>
      </w:r>
      <w:r w:rsidR="00487A9C" w:rsidRPr="005A5B4E">
        <w:rPr>
          <w:lang w:val="en-GB"/>
        </w:rPr>
        <w:t xml:space="preserve"> explain</w:t>
      </w:r>
      <w:proofErr w:type="gramEnd"/>
      <w:r w:rsidR="00487A9C" w:rsidRPr="005A5B4E">
        <w:rPr>
          <w:lang w:val="en-GB"/>
        </w:rPr>
        <w:t xml:space="preserve"> some of the </w:t>
      </w:r>
      <w:r w:rsidRPr="005A5B4E">
        <w:rPr>
          <w:lang w:val="en-GB"/>
        </w:rPr>
        <w:t xml:space="preserve">fluctuations in bond yields. </w:t>
      </w:r>
      <w:r w:rsidR="00487A9C" w:rsidRPr="005A5B4E">
        <w:rPr>
          <w:lang w:val="en-GB"/>
        </w:rPr>
        <w:t xml:space="preserve">On the whole, </w:t>
      </w:r>
      <w:r w:rsidR="00CF04F9" w:rsidRPr="005A5B4E">
        <w:rPr>
          <w:lang w:val="en-GB"/>
        </w:rPr>
        <w:t>th</w:t>
      </w:r>
      <w:r w:rsidR="00CF04F9">
        <w:rPr>
          <w:lang w:val="en-GB"/>
        </w:rPr>
        <w:t xml:space="preserve">e </w:t>
      </w:r>
      <w:r w:rsidRPr="00535A4C">
        <w:rPr>
          <w:lang w:val="en-GB"/>
        </w:rPr>
        <w:t xml:space="preserve">identified principal components </w:t>
      </w:r>
      <w:r w:rsidR="00487A9C">
        <w:rPr>
          <w:lang w:val="en-GB"/>
        </w:rPr>
        <w:t xml:space="preserve">track </w:t>
      </w:r>
      <w:r w:rsidR="00CF04F9">
        <w:rPr>
          <w:lang w:val="en-GB"/>
        </w:rPr>
        <w:t xml:space="preserve">well </w:t>
      </w:r>
      <w:r w:rsidR="00D40D75">
        <w:rPr>
          <w:lang w:val="en-GB"/>
        </w:rPr>
        <w:t>t</w:t>
      </w:r>
      <w:r w:rsidRPr="00535A4C">
        <w:rPr>
          <w:lang w:val="en-GB"/>
        </w:rPr>
        <w:t>he</w:t>
      </w:r>
      <w:r w:rsidR="00487A9C">
        <w:rPr>
          <w:lang w:val="en-GB"/>
        </w:rPr>
        <w:t>ir</w:t>
      </w:r>
      <w:r w:rsidRPr="00535A4C">
        <w:rPr>
          <w:lang w:val="en-GB"/>
        </w:rPr>
        <w:t xml:space="preserve"> </w:t>
      </w:r>
      <w:r w:rsidR="004358E2" w:rsidRPr="00535A4C">
        <w:rPr>
          <w:lang w:val="en-GB"/>
        </w:rPr>
        <w:t>behaviour</w:t>
      </w:r>
      <w:r w:rsidRPr="00535A4C">
        <w:rPr>
          <w:lang w:val="en-GB"/>
        </w:rPr>
        <w:t xml:space="preserve"> over </w:t>
      </w:r>
      <w:r w:rsidR="00D40D75">
        <w:rPr>
          <w:lang w:val="en-GB"/>
        </w:rPr>
        <w:t xml:space="preserve">the period </w:t>
      </w:r>
      <w:r w:rsidRPr="00535A4C">
        <w:rPr>
          <w:lang w:val="en-GB"/>
        </w:rPr>
        <w:t xml:space="preserve">1800-2012. </w:t>
      </w:r>
    </w:p>
    <w:p w14:paraId="460BBB82" w14:textId="77777777" w:rsidR="005A5B4E" w:rsidRDefault="005A5B4E" w:rsidP="005A5B4E"/>
    <w:p w14:paraId="4B253634" w14:textId="77777777" w:rsidR="005A5B4E" w:rsidRPr="005A5B4E" w:rsidRDefault="005A5B4E" w:rsidP="005A5B4E"/>
    <w:p w14:paraId="6D9D49C5" w14:textId="77777777" w:rsidR="00D40D75" w:rsidRDefault="00D40D75" w:rsidP="00AC48D4">
      <w:pPr>
        <w:pStyle w:val="Heading2"/>
      </w:pPr>
      <w:r>
        <w:t>3.2</w:t>
      </w:r>
      <w:r w:rsidR="008D00E5">
        <w:t xml:space="preserve"> </w:t>
      </w:r>
      <w:r w:rsidR="00AB6A88" w:rsidRPr="00535A4C">
        <w:t>Multivariate Spectral Granger Causality Analysis</w:t>
      </w:r>
    </w:p>
    <w:p w14:paraId="46240573" w14:textId="77777777" w:rsidR="00321109" w:rsidRPr="00D40D75" w:rsidRDefault="00AB6A88" w:rsidP="007B26A3">
      <w:pPr>
        <w:pStyle w:val="BodyText"/>
        <w:jc w:val="both"/>
        <w:rPr>
          <w:b/>
          <w:color w:val="FF0000"/>
        </w:rPr>
      </w:pPr>
      <w:r w:rsidRPr="00D40D75">
        <w:t>Table 4 show</w:t>
      </w:r>
      <w:r w:rsidR="006B455A" w:rsidRPr="00D40D75">
        <w:t>s</w:t>
      </w:r>
      <w:r w:rsidRPr="00D40D75">
        <w:t xml:space="preserve"> the results of the multivariate spectral Granger causality analysis. Both unidirectional</w:t>
      </w:r>
      <w:r w:rsidR="00CF04F9" w:rsidRPr="00D40D75">
        <w:t xml:space="preserve"> and bidirectional </w:t>
      </w:r>
      <w:r w:rsidRPr="00D40D75">
        <w:t>feedback between the series is ex</w:t>
      </w:r>
      <w:r w:rsidR="000224E0" w:rsidRPr="00D40D75">
        <w:t>amin</w:t>
      </w:r>
      <w:r w:rsidRPr="00D40D75">
        <w:t xml:space="preserve">ed. </w:t>
      </w:r>
      <w:r w:rsidR="00CF04F9" w:rsidRPr="00D40D75">
        <w:t xml:space="preserve">Evidence of bidirectional feedback is found in </w:t>
      </w:r>
      <w:r w:rsidRPr="00D40D75">
        <w:t xml:space="preserve">four </w:t>
      </w:r>
      <w:r w:rsidR="00CF04F9" w:rsidRPr="00D40D75">
        <w:t xml:space="preserve">cases, </w:t>
      </w:r>
      <w:r w:rsidRPr="00D40D75">
        <w:t xml:space="preserve"> namely between LR and LCPI, LR</w:t>
      </w:r>
      <w:r w:rsidR="00CF04F9" w:rsidRPr="00D40D75">
        <w:t xml:space="preserve"> and M1, LR and DR, LR and EXP3</w:t>
      </w:r>
      <w:r w:rsidR="00487A9C">
        <w:t xml:space="preserve">. </w:t>
      </w:r>
    </w:p>
    <w:p w14:paraId="6EF1E26B" w14:textId="77777777" w:rsidR="00AB6A88" w:rsidRPr="00535A4C" w:rsidRDefault="00AB6A88" w:rsidP="00E8204B">
      <w:pPr>
        <w:pStyle w:val="BodyText"/>
        <w:ind w:firstLine="0"/>
        <w:jc w:val="both"/>
        <w:rPr>
          <w:lang w:val="en-GB"/>
        </w:rPr>
      </w:pPr>
      <w:r w:rsidRPr="00535A4C">
        <w:rPr>
          <w:lang w:val="en-GB"/>
        </w:rPr>
        <w:t>Table 4</w:t>
      </w:r>
    </w:p>
    <w:p w14:paraId="50881450" w14:textId="77777777" w:rsidR="00AB6A88" w:rsidRPr="00535A4C" w:rsidRDefault="00AB6A88" w:rsidP="00E8204B">
      <w:pPr>
        <w:pStyle w:val="BodyText"/>
        <w:ind w:firstLine="0"/>
        <w:jc w:val="both"/>
        <w:rPr>
          <w:sz w:val="22"/>
          <w:szCs w:val="22"/>
          <w:lang w:val="en-GB"/>
        </w:rPr>
      </w:pPr>
      <w:r w:rsidRPr="00535A4C">
        <w:rPr>
          <w:i/>
          <w:sz w:val="22"/>
          <w:szCs w:val="22"/>
          <w:lang w:val="en-GB"/>
        </w:rPr>
        <w:t>Multivariate Spectral Granger Causality Analysis</w:t>
      </w:r>
    </w:p>
    <w:tbl>
      <w:tblPr>
        <w:tblW w:w="5000" w:type="pct"/>
        <w:tblBorders>
          <w:top w:val="single" w:sz="12" w:space="0" w:color="000000"/>
          <w:bottom w:val="single" w:sz="12" w:space="0" w:color="000000"/>
        </w:tblBorders>
        <w:tblLook w:val="00A0" w:firstRow="1" w:lastRow="0" w:firstColumn="1" w:lastColumn="0" w:noHBand="0" w:noVBand="0"/>
      </w:tblPr>
      <w:tblGrid>
        <w:gridCol w:w="3933"/>
        <w:gridCol w:w="3105"/>
        <w:gridCol w:w="2198"/>
      </w:tblGrid>
      <w:tr w:rsidR="00AB6A88" w:rsidRPr="00535A4C" w14:paraId="46487AEC" w14:textId="77777777" w:rsidTr="00837932">
        <w:tc>
          <w:tcPr>
            <w:tcW w:w="2129" w:type="pct"/>
            <w:tcBorders>
              <w:top w:val="single" w:sz="12" w:space="0" w:color="000000"/>
              <w:left w:val="nil"/>
              <w:bottom w:val="single" w:sz="6" w:space="0" w:color="000000"/>
              <w:right w:val="single" w:sz="4" w:space="0" w:color="FFFFFF"/>
            </w:tcBorders>
          </w:tcPr>
          <w:p w14:paraId="0F801B34" w14:textId="77777777" w:rsidR="00AB6A88" w:rsidRPr="00535A4C" w:rsidRDefault="00AB6A88" w:rsidP="001B3046">
            <w:pPr>
              <w:pStyle w:val="BodyText"/>
              <w:spacing w:line="240" w:lineRule="auto"/>
              <w:ind w:firstLine="0"/>
              <w:jc w:val="both"/>
              <w:rPr>
                <w:i/>
                <w:iCs/>
                <w:lang w:val="en-GB" w:eastAsia="en-US"/>
              </w:rPr>
            </w:pPr>
            <w:r w:rsidRPr="00535A4C">
              <w:rPr>
                <w:i/>
                <w:iCs/>
                <w:sz w:val="22"/>
                <w:szCs w:val="22"/>
                <w:lang w:val="en-GB" w:eastAsia="en-US"/>
              </w:rPr>
              <w:t>Causality relation</w:t>
            </w:r>
          </w:p>
        </w:tc>
        <w:tc>
          <w:tcPr>
            <w:tcW w:w="1681" w:type="pct"/>
            <w:tcBorders>
              <w:top w:val="single" w:sz="12" w:space="0" w:color="000000"/>
              <w:left w:val="single" w:sz="4" w:space="0" w:color="FFFFFF"/>
              <w:bottom w:val="single" w:sz="6" w:space="0" w:color="000000"/>
              <w:right w:val="nil"/>
            </w:tcBorders>
          </w:tcPr>
          <w:p w14:paraId="40A06113" w14:textId="77777777" w:rsidR="00AB6A88" w:rsidRPr="00535A4C" w:rsidRDefault="00045DEB" w:rsidP="00927639">
            <w:pPr>
              <w:pStyle w:val="BodyText"/>
              <w:tabs>
                <w:tab w:val="clear" w:pos="8640"/>
                <w:tab w:val="center" w:pos="1500"/>
                <w:tab w:val="right" w:pos="3000"/>
              </w:tabs>
              <w:spacing w:line="240" w:lineRule="auto"/>
              <w:ind w:firstLine="0"/>
              <w:jc w:val="center"/>
              <w:rPr>
                <w:iCs/>
                <w:lang w:val="en-GB" w:eastAsia="en-US"/>
              </w:rPr>
            </w:pPr>
            <w:r w:rsidRPr="00F13DC8">
              <w:rPr>
                <w:noProof/>
                <w:position w:val="-10"/>
                <w:lang w:val="en-US" w:eastAsia="en-US"/>
              </w:rPr>
              <w:drawing>
                <wp:inline distT="0" distB="0" distL="0" distR="0" wp14:anchorId="1A0BD2EB" wp14:editId="52A730F3">
                  <wp:extent cx="340360" cy="228600"/>
                  <wp:effectExtent l="0" t="0" r="0" b="0"/>
                  <wp:docPr id="2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0360" cy="228600"/>
                          </a:xfrm>
                          <a:prstGeom prst="rect">
                            <a:avLst/>
                          </a:prstGeom>
                          <a:noFill/>
                          <a:ln>
                            <a:noFill/>
                          </a:ln>
                        </pic:spPr>
                      </pic:pic>
                    </a:graphicData>
                  </a:graphic>
                </wp:inline>
              </w:drawing>
            </w:r>
          </w:p>
        </w:tc>
        <w:tc>
          <w:tcPr>
            <w:tcW w:w="1190" w:type="pct"/>
            <w:tcBorders>
              <w:top w:val="single" w:sz="12" w:space="0" w:color="000000"/>
              <w:left w:val="nil"/>
              <w:bottom w:val="single" w:sz="6" w:space="0" w:color="000000"/>
              <w:right w:val="nil"/>
            </w:tcBorders>
          </w:tcPr>
          <w:p w14:paraId="63B8DECE" w14:textId="77777777" w:rsidR="00AB6A88" w:rsidRPr="00535A4C" w:rsidRDefault="00045DEB" w:rsidP="00927639">
            <w:pPr>
              <w:pStyle w:val="BodyText"/>
              <w:spacing w:line="240" w:lineRule="auto"/>
              <w:ind w:firstLine="0"/>
              <w:jc w:val="center"/>
              <w:rPr>
                <w:iCs/>
                <w:lang w:val="en-GB" w:eastAsia="en-US"/>
              </w:rPr>
            </w:pPr>
            <w:r w:rsidRPr="00F13DC8">
              <w:rPr>
                <w:noProof/>
                <w:position w:val="-10"/>
                <w:lang w:val="en-US" w:eastAsia="en-US"/>
              </w:rPr>
              <w:drawing>
                <wp:inline distT="0" distB="0" distL="0" distR="0" wp14:anchorId="730DC13A" wp14:editId="71BABDF0">
                  <wp:extent cx="340360" cy="228600"/>
                  <wp:effectExtent l="0" t="0" r="0" b="0"/>
                  <wp:docPr id="2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0360" cy="228600"/>
                          </a:xfrm>
                          <a:prstGeom prst="rect">
                            <a:avLst/>
                          </a:prstGeom>
                          <a:noFill/>
                          <a:ln>
                            <a:noFill/>
                          </a:ln>
                        </pic:spPr>
                      </pic:pic>
                    </a:graphicData>
                  </a:graphic>
                </wp:inline>
              </w:drawing>
            </w:r>
          </w:p>
        </w:tc>
      </w:tr>
      <w:tr w:rsidR="00AB6A88" w:rsidRPr="00535A4C" w14:paraId="467E5F0C" w14:textId="77777777" w:rsidTr="00837932">
        <w:tc>
          <w:tcPr>
            <w:tcW w:w="2129" w:type="pct"/>
            <w:tcBorders>
              <w:top w:val="nil"/>
              <w:left w:val="nil"/>
              <w:bottom w:val="nil"/>
              <w:right w:val="single" w:sz="4" w:space="0" w:color="FFFFFF"/>
            </w:tcBorders>
          </w:tcPr>
          <w:p w14:paraId="65A093C3" w14:textId="77777777" w:rsidR="00AB6A88" w:rsidRPr="00535A4C" w:rsidRDefault="00AB6A88" w:rsidP="001B3046">
            <w:pPr>
              <w:pStyle w:val="BodyText"/>
              <w:spacing w:line="240" w:lineRule="auto"/>
              <w:ind w:firstLine="0"/>
              <w:jc w:val="both"/>
              <w:rPr>
                <w:i/>
                <w:lang w:val="en-GB" w:eastAsia="en-US"/>
              </w:rPr>
            </w:pPr>
            <w:r w:rsidRPr="00535A4C">
              <w:rPr>
                <w:i/>
                <w:sz w:val="22"/>
                <w:szCs w:val="22"/>
                <w:lang w:val="en-GB" w:eastAsia="en-US"/>
              </w:rPr>
              <w:t>MSSA forecast MSE of  LR (LCPI as second series)</w:t>
            </w:r>
          </w:p>
        </w:tc>
        <w:tc>
          <w:tcPr>
            <w:tcW w:w="1681" w:type="pct"/>
            <w:tcBorders>
              <w:top w:val="nil"/>
              <w:left w:val="single" w:sz="4" w:space="0" w:color="FFFFFF"/>
              <w:bottom w:val="nil"/>
              <w:right w:val="nil"/>
            </w:tcBorders>
          </w:tcPr>
          <w:p w14:paraId="5C518C7C" w14:textId="77777777" w:rsidR="00AB6A88" w:rsidRPr="00535A4C" w:rsidRDefault="00AB6A88" w:rsidP="00927639">
            <w:pPr>
              <w:pStyle w:val="BodyText"/>
              <w:spacing w:line="240" w:lineRule="auto"/>
              <w:ind w:firstLine="0"/>
              <w:jc w:val="center"/>
              <w:rPr>
                <w:i/>
                <w:lang w:val="en-GB" w:eastAsia="en-US"/>
              </w:rPr>
            </w:pPr>
            <w:r w:rsidRPr="00535A4C">
              <w:rPr>
                <w:i/>
                <w:sz w:val="22"/>
                <w:szCs w:val="22"/>
                <w:lang w:val="en-GB" w:eastAsia="en-US"/>
              </w:rPr>
              <w:t xml:space="preserve">(LCPI </w:t>
            </w:r>
            <w:r w:rsidRPr="00535A4C">
              <w:rPr>
                <w:i/>
                <w:sz w:val="22"/>
                <w:szCs w:val="22"/>
                <w:lang w:val="en-GB" w:eastAsia="en-US"/>
              </w:rPr>
              <w:sym w:font="Symbol" w:char="F0AE"/>
            </w:r>
            <w:r w:rsidRPr="00535A4C">
              <w:rPr>
                <w:i/>
                <w:sz w:val="22"/>
                <w:szCs w:val="22"/>
                <w:lang w:val="en-GB" w:eastAsia="en-US"/>
              </w:rPr>
              <w:t xml:space="preserve"> LR) 0.99*</w:t>
            </w:r>
          </w:p>
        </w:tc>
        <w:tc>
          <w:tcPr>
            <w:tcW w:w="1190" w:type="pct"/>
            <w:tcBorders>
              <w:top w:val="nil"/>
              <w:left w:val="nil"/>
              <w:bottom w:val="nil"/>
              <w:right w:val="nil"/>
            </w:tcBorders>
          </w:tcPr>
          <w:p w14:paraId="3F87596C" w14:textId="77777777" w:rsidR="00AB6A88" w:rsidRPr="00535A4C" w:rsidRDefault="00AB6A88" w:rsidP="00927639">
            <w:pPr>
              <w:pStyle w:val="BodyText"/>
              <w:spacing w:line="240" w:lineRule="auto"/>
              <w:ind w:firstLine="0"/>
              <w:jc w:val="center"/>
              <w:rPr>
                <w:i/>
                <w:lang w:val="en-GB" w:eastAsia="en-US"/>
              </w:rPr>
            </w:pPr>
            <w:r w:rsidRPr="00535A4C">
              <w:rPr>
                <w:i/>
                <w:sz w:val="22"/>
                <w:szCs w:val="22"/>
                <w:lang w:val="en-GB" w:eastAsia="en-US"/>
              </w:rPr>
              <w:t xml:space="preserve">(LR </w:t>
            </w:r>
            <w:r w:rsidRPr="00535A4C">
              <w:rPr>
                <w:i/>
                <w:sz w:val="22"/>
                <w:szCs w:val="22"/>
                <w:lang w:val="en-GB" w:eastAsia="en-US"/>
              </w:rPr>
              <w:sym w:font="Symbol" w:char="F0AE"/>
            </w:r>
            <w:r w:rsidRPr="00535A4C">
              <w:rPr>
                <w:i/>
                <w:sz w:val="22"/>
                <w:szCs w:val="22"/>
                <w:lang w:val="en-GB" w:eastAsia="en-US"/>
              </w:rPr>
              <w:t xml:space="preserve"> LCPI) 0.81*</w:t>
            </w:r>
          </w:p>
        </w:tc>
      </w:tr>
      <w:tr w:rsidR="00AB6A88" w:rsidRPr="00535A4C" w14:paraId="6F6970BF" w14:textId="77777777" w:rsidTr="00837932">
        <w:tc>
          <w:tcPr>
            <w:tcW w:w="2129" w:type="pct"/>
            <w:tcBorders>
              <w:top w:val="nil"/>
              <w:left w:val="nil"/>
              <w:bottom w:val="nil"/>
              <w:right w:val="single" w:sz="4" w:space="0" w:color="FFFFFF"/>
            </w:tcBorders>
          </w:tcPr>
          <w:p w14:paraId="79112EE4" w14:textId="77777777" w:rsidR="00AB6A88" w:rsidRPr="00535A4C" w:rsidRDefault="00AB6A88" w:rsidP="001B3046">
            <w:pPr>
              <w:pStyle w:val="BodyText"/>
              <w:spacing w:line="240" w:lineRule="auto"/>
              <w:ind w:firstLine="0"/>
              <w:jc w:val="both"/>
              <w:rPr>
                <w:lang w:val="en-GB" w:eastAsia="en-US"/>
              </w:rPr>
            </w:pPr>
            <w:r w:rsidRPr="00535A4C">
              <w:rPr>
                <w:sz w:val="22"/>
                <w:szCs w:val="22"/>
                <w:lang w:val="en-GB" w:eastAsia="en-US"/>
              </w:rPr>
              <w:t>MSSA forecast MSE of LR (RORK2 as second series)</w:t>
            </w:r>
          </w:p>
        </w:tc>
        <w:tc>
          <w:tcPr>
            <w:tcW w:w="1681" w:type="pct"/>
            <w:tcBorders>
              <w:top w:val="nil"/>
              <w:left w:val="single" w:sz="4" w:space="0" w:color="FFFFFF"/>
              <w:bottom w:val="nil"/>
              <w:right w:val="nil"/>
            </w:tcBorders>
          </w:tcPr>
          <w:p w14:paraId="2340D15F"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 xml:space="preserve">(RORK2 </w:t>
            </w:r>
            <w:r w:rsidRPr="00535A4C">
              <w:rPr>
                <w:sz w:val="22"/>
                <w:szCs w:val="22"/>
                <w:lang w:val="en-GB" w:eastAsia="en-US"/>
              </w:rPr>
              <w:sym w:font="Symbol" w:char="F0AE"/>
            </w:r>
            <w:r w:rsidRPr="00535A4C">
              <w:rPr>
                <w:sz w:val="22"/>
                <w:szCs w:val="22"/>
                <w:lang w:val="en-GB" w:eastAsia="en-US"/>
              </w:rPr>
              <w:t xml:space="preserve"> LR) 0.99*</w:t>
            </w:r>
          </w:p>
        </w:tc>
        <w:tc>
          <w:tcPr>
            <w:tcW w:w="1190" w:type="pct"/>
            <w:tcBorders>
              <w:top w:val="nil"/>
              <w:left w:val="nil"/>
              <w:bottom w:val="nil"/>
              <w:right w:val="nil"/>
            </w:tcBorders>
          </w:tcPr>
          <w:p w14:paraId="08ACFCC3"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 xml:space="preserve">(LR </w:t>
            </w:r>
            <w:r w:rsidRPr="00535A4C">
              <w:rPr>
                <w:sz w:val="22"/>
                <w:szCs w:val="22"/>
                <w:lang w:val="en-GB" w:eastAsia="en-US"/>
              </w:rPr>
              <w:sym w:font="Symbol" w:char="F0AE"/>
            </w:r>
            <w:r w:rsidRPr="00535A4C">
              <w:rPr>
                <w:sz w:val="22"/>
                <w:szCs w:val="22"/>
                <w:lang w:val="en-GB" w:eastAsia="en-US"/>
              </w:rPr>
              <w:t xml:space="preserve"> RORK2) 1.15</w:t>
            </w:r>
          </w:p>
        </w:tc>
      </w:tr>
      <w:tr w:rsidR="00AB6A88" w:rsidRPr="00535A4C" w14:paraId="20499173" w14:textId="77777777" w:rsidTr="00837932">
        <w:tc>
          <w:tcPr>
            <w:tcW w:w="2129" w:type="pct"/>
            <w:tcBorders>
              <w:top w:val="nil"/>
              <w:left w:val="nil"/>
              <w:bottom w:val="nil"/>
              <w:right w:val="single" w:sz="4" w:space="0" w:color="FFFFFF"/>
            </w:tcBorders>
          </w:tcPr>
          <w:p w14:paraId="3B173A29" w14:textId="77777777" w:rsidR="00AB6A88" w:rsidRPr="00535A4C" w:rsidRDefault="00AB6A88" w:rsidP="001B3046">
            <w:pPr>
              <w:pStyle w:val="BodyText"/>
              <w:spacing w:line="240" w:lineRule="auto"/>
              <w:ind w:firstLine="0"/>
              <w:jc w:val="both"/>
              <w:rPr>
                <w:i/>
                <w:lang w:val="en-GB" w:eastAsia="en-US"/>
              </w:rPr>
            </w:pPr>
            <w:r w:rsidRPr="00535A4C">
              <w:rPr>
                <w:i/>
                <w:sz w:val="22"/>
                <w:szCs w:val="22"/>
                <w:lang w:val="en-GB" w:eastAsia="en-US"/>
              </w:rPr>
              <w:t>MSSA forecast MSE of LR (M1 as second series)</w:t>
            </w:r>
          </w:p>
        </w:tc>
        <w:tc>
          <w:tcPr>
            <w:tcW w:w="1681" w:type="pct"/>
            <w:tcBorders>
              <w:top w:val="nil"/>
              <w:left w:val="single" w:sz="4" w:space="0" w:color="FFFFFF"/>
              <w:bottom w:val="nil"/>
              <w:right w:val="nil"/>
            </w:tcBorders>
          </w:tcPr>
          <w:p w14:paraId="051F0A98" w14:textId="77777777" w:rsidR="00AB6A88" w:rsidRPr="00535A4C" w:rsidRDefault="00AB6A88" w:rsidP="00927639">
            <w:pPr>
              <w:pStyle w:val="BodyText"/>
              <w:spacing w:line="240" w:lineRule="auto"/>
              <w:ind w:firstLine="0"/>
              <w:jc w:val="center"/>
              <w:rPr>
                <w:i/>
                <w:lang w:val="en-GB" w:eastAsia="en-US"/>
              </w:rPr>
            </w:pPr>
            <w:r w:rsidRPr="00535A4C">
              <w:rPr>
                <w:i/>
                <w:sz w:val="22"/>
                <w:szCs w:val="22"/>
                <w:lang w:val="en-GB" w:eastAsia="en-US"/>
              </w:rPr>
              <w:t xml:space="preserve">(M1 </w:t>
            </w:r>
            <w:r w:rsidRPr="00535A4C">
              <w:rPr>
                <w:i/>
                <w:sz w:val="22"/>
                <w:szCs w:val="22"/>
                <w:lang w:val="en-GB" w:eastAsia="en-US"/>
              </w:rPr>
              <w:sym w:font="Symbol" w:char="F0AE"/>
            </w:r>
            <w:r w:rsidRPr="00535A4C">
              <w:rPr>
                <w:i/>
                <w:sz w:val="22"/>
                <w:szCs w:val="22"/>
                <w:lang w:val="en-GB" w:eastAsia="en-US"/>
              </w:rPr>
              <w:t xml:space="preserve"> LR) 0.99*</w:t>
            </w:r>
          </w:p>
        </w:tc>
        <w:tc>
          <w:tcPr>
            <w:tcW w:w="1190" w:type="pct"/>
            <w:tcBorders>
              <w:top w:val="nil"/>
              <w:left w:val="nil"/>
              <w:bottom w:val="nil"/>
              <w:right w:val="nil"/>
            </w:tcBorders>
          </w:tcPr>
          <w:p w14:paraId="12E61894" w14:textId="77777777" w:rsidR="00AB6A88" w:rsidRPr="00535A4C" w:rsidRDefault="00AB6A88" w:rsidP="00927639">
            <w:pPr>
              <w:pStyle w:val="BodyText"/>
              <w:spacing w:line="240" w:lineRule="auto"/>
              <w:ind w:firstLine="0"/>
              <w:jc w:val="center"/>
              <w:rPr>
                <w:i/>
                <w:lang w:val="en-GB" w:eastAsia="en-US"/>
              </w:rPr>
            </w:pPr>
            <w:r w:rsidRPr="00535A4C">
              <w:rPr>
                <w:i/>
                <w:sz w:val="22"/>
                <w:szCs w:val="22"/>
                <w:lang w:val="en-GB" w:eastAsia="en-US"/>
              </w:rPr>
              <w:t xml:space="preserve">(LR </w:t>
            </w:r>
            <w:r w:rsidRPr="00535A4C">
              <w:rPr>
                <w:i/>
                <w:sz w:val="22"/>
                <w:szCs w:val="22"/>
                <w:lang w:val="en-GB" w:eastAsia="en-US"/>
              </w:rPr>
              <w:sym w:font="Symbol" w:char="F0AE"/>
            </w:r>
            <w:r w:rsidRPr="00535A4C">
              <w:rPr>
                <w:i/>
                <w:sz w:val="22"/>
                <w:szCs w:val="22"/>
                <w:lang w:val="en-GB" w:eastAsia="en-US"/>
              </w:rPr>
              <w:t xml:space="preserve"> M1) 0.29*</w:t>
            </w:r>
          </w:p>
        </w:tc>
      </w:tr>
      <w:tr w:rsidR="00AB6A88" w:rsidRPr="00535A4C" w14:paraId="7E7ADDF0" w14:textId="77777777" w:rsidTr="00837932">
        <w:tc>
          <w:tcPr>
            <w:tcW w:w="2129" w:type="pct"/>
            <w:tcBorders>
              <w:top w:val="nil"/>
              <w:left w:val="nil"/>
              <w:bottom w:val="nil"/>
              <w:right w:val="single" w:sz="4" w:space="0" w:color="FFFFFF"/>
            </w:tcBorders>
          </w:tcPr>
          <w:p w14:paraId="415DBEA5" w14:textId="77777777" w:rsidR="00AB6A88" w:rsidRPr="00535A4C" w:rsidRDefault="00AB6A88" w:rsidP="001B3046">
            <w:pPr>
              <w:pStyle w:val="BodyText"/>
              <w:spacing w:line="240" w:lineRule="auto"/>
              <w:ind w:firstLine="0"/>
              <w:jc w:val="both"/>
              <w:rPr>
                <w:lang w:val="en-GB" w:eastAsia="en-US"/>
              </w:rPr>
            </w:pPr>
            <w:r w:rsidRPr="00535A4C">
              <w:rPr>
                <w:sz w:val="22"/>
                <w:szCs w:val="22"/>
                <w:lang w:val="en-GB" w:eastAsia="en-US"/>
              </w:rPr>
              <w:t>MSSA forecast MSE of LR (EXPP as second series)</w:t>
            </w:r>
          </w:p>
        </w:tc>
        <w:tc>
          <w:tcPr>
            <w:tcW w:w="1681" w:type="pct"/>
            <w:tcBorders>
              <w:top w:val="nil"/>
              <w:left w:val="single" w:sz="4" w:space="0" w:color="FFFFFF"/>
              <w:bottom w:val="nil"/>
              <w:right w:val="nil"/>
            </w:tcBorders>
          </w:tcPr>
          <w:p w14:paraId="44679FED"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 xml:space="preserve">(EXPP </w:t>
            </w:r>
            <w:r w:rsidRPr="00535A4C">
              <w:rPr>
                <w:sz w:val="22"/>
                <w:szCs w:val="22"/>
                <w:lang w:val="en-GB" w:eastAsia="en-US"/>
              </w:rPr>
              <w:sym w:font="Symbol" w:char="F0AE"/>
            </w:r>
            <w:r w:rsidRPr="00535A4C">
              <w:rPr>
                <w:sz w:val="22"/>
                <w:szCs w:val="22"/>
                <w:lang w:val="en-GB" w:eastAsia="en-US"/>
              </w:rPr>
              <w:t xml:space="preserve"> LR) 1.00</w:t>
            </w:r>
          </w:p>
        </w:tc>
        <w:tc>
          <w:tcPr>
            <w:tcW w:w="1190" w:type="pct"/>
            <w:tcBorders>
              <w:top w:val="nil"/>
              <w:left w:val="nil"/>
              <w:bottom w:val="nil"/>
              <w:right w:val="nil"/>
            </w:tcBorders>
          </w:tcPr>
          <w:p w14:paraId="566F14B9"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 xml:space="preserve">(LR </w:t>
            </w:r>
            <w:r w:rsidRPr="00535A4C">
              <w:rPr>
                <w:sz w:val="22"/>
                <w:szCs w:val="22"/>
                <w:lang w:val="en-GB" w:eastAsia="en-US"/>
              </w:rPr>
              <w:sym w:font="Symbol" w:char="F0AE"/>
            </w:r>
            <w:r w:rsidRPr="00535A4C">
              <w:rPr>
                <w:sz w:val="22"/>
                <w:szCs w:val="22"/>
                <w:lang w:val="en-GB" w:eastAsia="en-US"/>
              </w:rPr>
              <w:t xml:space="preserve"> EXPP) 0.80*</w:t>
            </w:r>
          </w:p>
        </w:tc>
      </w:tr>
      <w:tr w:rsidR="00AB6A88" w:rsidRPr="00535A4C" w14:paraId="14FDED3A" w14:textId="77777777" w:rsidTr="00837932">
        <w:tc>
          <w:tcPr>
            <w:tcW w:w="2129" w:type="pct"/>
            <w:tcBorders>
              <w:top w:val="nil"/>
              <w:left w:val="nil"/>
              <w:bottom w:val="nil"/>
              <w:right w:val="single" w:sz="4" w:space="0" w:color="FFFFFF"/>
            </w:tcBorders>
          </w:tcPr>
          <w:p w14:paraId="4AA12D22" w14:textId="77777777" w:rsidR="00AB6A88" w:rsidRPr="00535A4C" w:rsidRDefault="00AB6A88" w:rsidP="001B3046">
            <w:pPr>
              <w:pStyle w:val="BodyText"/>
              <w:spacing w:line="240" w:lineRule="auto"/>
              <w:ind w:firstLine="0"/>
              <w:jc w:val="both"/>
              <w:rPr>
                <w:i/>
                <w:lang w:val="en-GB" w:eastAsia="en-US"/>
              </w:rPr>
            </w:pPr>
            <w:r w:rsidRPr="00535A4C">
              <w:rPr>
                <w:i/>
                <w:sz w:val="22"/>
                <w:szCs w:val="22"/>
                <w:lang w:val="en-GB" w:eastAsia="en-US"/>
              </w:rPr>
              <w:t>MSSA forecast MSE of LR (DR as second series)</w:t>
            </w:r>
          </w:p>
        </w:tc>
        <w:tc>
          <w:tcPr>
            <w:tcW w:w="1681" w:type="pct"/>
            <w:tcBorders>
              <w:top w:val="nil"/>
              <w:left w:val="single" w:sz="4" w:space="0" w:color="FFFFFF"/>
              <w:bottom w:val="nil"/>
              <w:right w:val="nil"/>
            </w:tcBorders>
          </w:tcPr>
          <w:p w14:paraId="244D4F63" w14:textId="77777777" w:rsidR="00AB6A88" w:rsidRPr="00535A4C" w:rsidRDefault="00AB6A88" w:rsidP="00927639">
            <w:pPr>
              <w:pStyle w:val="BodyText"/>
              <w:spacing w:line="240" w:lineRule="auto"/>
              <w:ind w:firstLine="0"/>
              <w:jc w:val="center"/>
              <w:rPr>
                <w:i/>
                <w:lang w:val="en-GB" w:eastAsia="en-US"/>
              </w:rPr>
            </w:pPr>
            <w:r w:rsidRPr="00535A4C">
              <w:rPr>
                <w:i/>
                <w:sz w:val="22"/>
                <w:szCs w:val="22"/>
                <w:lang w:val="en-GB" w:eastAsia="en-US"/>
              </w:rPr>
              <w:t xml:space="preserve">(DR </w:t>
            </w:r>
            <w:r w:rsidRPr="00535A4C">
              <w:rPr>
                <w:i/>
                <w:sz w:val="22"/>
                <w:szCs w:val="22"/>
                <w:lang w:val="en-GB" w:eastAsia="en-US"/>
              </w:rPr>
              <w:sym w:font="Symbol" w:char="F0AE"/>
            </w:r>
            <w:r w:rsidRPr="00535A4C">
              <w:rPr>
                <w:i/>
                <w:sz w:val="22"/>
                <w:szCs w:val="22"/>
                <w:lang w:val="en-GB" w:eastAsia="en-US"/>
              </w:rPr>
              <w:t xml:space="preserve"> LR) 0.95*</w:t>
            </w:r>
          </w:p>
        </w:tc>
        <w:tc>
          <w:tcPr>
            <w:tcW w:w="1190" w:type="pct"/>
            <w:tcBorders>
              <w:top w:val="nil"/>
              <w:left w:val="nil"/>
              <w:bottom w:val="nil"/>
              <w:right w:val="nil"/>
            </w:tcBorders>
          </w:tcPr>
          <w:p w14:paraId="44EB613B" w14:textId="77777777" w:rsidR="00AB6A88" w:rsidRPr="00535A4C" w:rsidRDefault="00AB6A88" w:rsidP="00927639">
            <w:pPr>
              <w:pStyle w:val="BodyText"/>
              <w:spacing w:line="240" w:lineRule="auto"/>
              <w:ind w:firstLine="0"/>
              <w:jc w:val="center"/>
              <w:rPr>
                <w:i/>
                <w:lang w:val="en-GB" w:eastAsia="en-US"/>
              </w:rPr>
            </w:pPr>
            <w:r w:rsidRPr="00535A4C">
              <w:rPr>
                <w:i/>
                <w:sz w:val="22"/>
                <w:szCs w:val="22"/>
                <w:lang w:val="en-GB" w:eastAsia="en-US"/>
              </w:rPr>
              <w:t xml:space="preserve">(LR </w:t>
            </w:r>
            <w:r w:rsidRPr="00535A4C">
              <w:rPr>
                <w:i/>
                <w:sz w:val="22"/>
                <w:szCs w:val="22"/>
                <w:lang w:val="en-GB" w:eastAsia="en-US"/>
              </w:rPr>
              <w:sym w:font="Symbol" w:char="F0AE"/>
            </w:r>
            <w:r w:rsidRPr="00535A4C">
              <w:rPr>
                <w:i/>
                <w:sz w:val="22"/>
                <w:szCs w:val="22"/>
                <w:lang w:val="en-GB" w:eastAsia="en-US"/>
              </w:rPr>
              <w:t xml:space="preserve"> DR) 0.98*</w:t>
            </w:r>
          </w:p>
        </w:tc>
      </w:tr>
      <w:tr w:rsidR="00AB6A88" w:rsidRPr="00535A4C" w14:paraId="0D79188E" w14:textId="77777777" w:rsidTr="00837932">
        <w:tc>
          <w:tcPr>
            <w:tcW w:w="2129" w:type="pct"/>
            <w:tcBorders>
              <w:top w:val="nil"/>
              <w:left w:val="nil"/>
              <w:bottom w:val="nil"/>
              <w:right w:val="single" w:sz="4" w:space="0" w:color="FFFFFF"/>
            </w:tcBorders>
          </w:tcPr>
          <w:p w14:paraId="6C8286E9" w14:textId="77777777" w:rsidR="00AB6A88" w:rsidRPr="00535A4C" w:rsidRDefault="00AB6A88" w:rsidP="001B3046">
            <w:pPr>
              <w:pStyle w:val="BodyText"/>
              <w:spacing w:line="240" w:lineRule="auto"/>
              <w:ind w:firstLine="0"/>
              <w:jc w:val="both"/>
              <w:rPr>
                <w:lang w:val="en-GB" w:eastAsia="en-US"/>
              </w:rPr>
            </w:pPr>
            <w:r w:rsidRPr="00535A4C">
              <w:rPr>
                <w:sz w:val="22"/>
                <w:szCs w:val="22"/>
                <w:lang w:val="en-GB" w:eastAsia="en-US"/>
              </w:rPr>
              <w:t>MSSA forecast M</w:t>
            </w:r>
            <w:r w:rsidR="00994302" w:rsidRPr="00535A4C">
              <w:rPr>
                <w:sz w:val="22"/>
                <w:szCs w:val="22"/>
                <w:lang w:val="en-GB" w:eastAsia="en-US"/>
              </w:rPr>
              <w:t>SE of LR (NIR</w:t>
            </w:r>
            <w:r w:rsidRPr="00535A4C">
              <w:rPr>
                <w:sz w:val="22"/>
                <w:szCs w:val="22"/>
                <w:lang w:val="en-GB" w:eastAsia="en-US"/>
              </w:rPr>
              <w:t>6 as second series)</w:t>
            </w:r>
          </w:p>
        </w:tc>
        <w:tc>
          <w:tcPr>
            <w:tcW w:w="1681" w:type="pct"/>
            <w:tcBorders>
              <w:top w:val="nil"/>
              <w:left w:val="single" w:sz="4" w:space="0" w:color="FFFFFF"/>
              <w:bottom w:val="nil"/>
              <w:right w:val="nil"/>
            </w:tcBorders>
          </w:tcPr>
          <w:p w14:paraId="667E855D" w14:textId="77777777" w:rsidR="00AB6A88" w:rsidRPr="00535A4C" w:rsidRDefault="00994302" w:rsidP="00927639">
            <w:pPr>
              <w:pStyle w:val="BodyText"/>
              <w:spacing w:line="240" w:lineRule="auto"/>
              <w:ind w:firstLine="0"/>
              <w:jc w:val="center"/>
              <w:rPr>
                <w:lang w:val="en-GB" w:eastAsia="en-US"/>
              </w:rPr>
            </w:pPr>
            <w:r w:rsidRPr="00535A4C">
              <w:rPr>
                <w:sz w:val="22"/>
                <w:szCs w:val="22"/>
                <w:lang w:val="en-GB" w:eastAsia="en-US"/>
              </w:rPr>
              <w:t>(NIR</w:t>
            </w:r>
            <w:r w:rsidR="00AB6A88" w:rsidRPr="00535A4C">
              <w:rPr>
                <w:sz w:val="22"/>
                <w:szCs w:val="22"/>
                <w:lang w:val="en-GB" w:eastAsia="en-US"/>
              </w:rPr>
              <w:t xml:space="preserve">6 </w:t>
            </w:r>
            <w:r w:rsidR="00AB6A88" w:rsidRPr="00535A4C">
              <w:rPr>
                <w:sz w:val="22"/>
                <w:szCs w:val="22"/>
                <w:lang w:val="en-GB" w:eastAsia="en-US"/>
              </w:rPr>
              <w:sym w:font="Symbol" w:char="F0AE"/>
            </w:r>
            <w:r w:rsidR="00AB6A88" w:rsidRPr="00535A4C">
              <w:rPr>
                <w:sz w:val="22"/>
                <w:szCs w:val="22"/>
                <w:lang w:val="en-GB" w:eastAsia="en-US"/>
              </w:rPr>
              <w:t xml:space="preserve"> LR) 1.01</w:t>
            </w:r>
          </w:p>
        </w:tc>
        <w:tc>
          <w:tcPr>
            <w:tcW w:w="1190" w:type="pct"/>
            <w:tcBorders>
              <w:top w:val="nil"/>
              <w:left w:val="nil"/>
              <w:bottom w:val="nil"/>
              <w:right w:val="nil"/>
            </w:tcBorders>
          </w:tcPr>
          <w:p w14:paraId="1ECF3035"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 xml:space="preserve">(LR </w:t>
            </w:r>
            <w:r w:rsidRPr="00535A4C">
              <w:rPr>
                <w:sz w:val="22"/>
                <w:szCs w:val="22"/>
                <w:lang w:val="en-GB" w:eastAsia="en-US"/>
              </w:rPr>
              <w:sym w:font="Symbol" w:char="F0AE"/>
            </w:r>
            <w:r w:rsidR="00994302" w:rsidRPr="00535A4C">
              <w:rPr>
                <w:sz w:val="22"/>
                <w:szCs w:val="22"/>
                <w:lang w:val="en-GB" w:eastAsia="en-US"/>
              </w:rPr>
              <w:t xml:space="preserve"> NIR</w:t>
            </w:r>
            <w:r w:rsidRPr="00535A4C">
              <w:rPr>
                <w:sz w:val="22"/>
                <w:szCs w:val="22"/>
                <w:lang w:val="en-GB" w:eastAsia="en-US"/>
              </w:rPr>
              <w:t>6) 0.18*</w:t>
            </w:r>
          </w:p>
        </w:tc>
      </w:tr>
      <w:tr w:rsidR="00AB6A88" w:rsidRPr="00535A4C" w14:paraId="26706030" w14:textId="77777777" w:rsidTr="00837932">
        <w:tc>
          <w:tcPr>
            <w:tcW w:w="2129" w:type="pct"/>
            <w:tcBorders>
              <w:top w:val="nil"/>
              <w:left w:val="nil"/>
              <w:bottom w:val="nil"/>
              <w:right w:val="single" w:sz="4" w:space="0" w:color="FFFFFF"/>
            </w:tcBorders>
          </w:tcPr>
          <w:p w14:paraId="79AFB502" w14:textId="77777777" w:rsidR="00AB6A88" w:rsidRPr="00535A4C" w:rsidRDefault="00AB6A88" w:rsidP="001B3046">
            <w:pPr>
              <w:pStyle w:val="BodyText"/>
              <w:spacing w:line="240" w:lineRule="auto"/>
              <w:ind w:firstLine="0"/>
              <w:jc w:val="both"/>
              <w:rPr>
                <w:i/>
                <w:lang w:val="en-GB" w:eastAsia="en-US"/>
              </w:rPr>
            </w:pPr>
            <w:r w:rsidRPr="00535A4C">
              <w:rPr>
                <w:i/>
                <w:sz w:val="22"/>
                <w:szCs w:val="22"/>
                <w:lang w:val="en-GB" w:eastAsia="en-US"/>
              </w:rPr>
              <w:t>MSSA forecast MSE of LR (EXP3 as second series)</w:t>
            </w:r>
          </w:p>
        </w:tc>
        <w:tc>
          <w:tcPr>
            <w:tcW w:w="1681" w:type="pct"/>
            <w:tcBorders>
              <w:top w:val="nil"/>
              <w:left w:val="single" w:sz="4" w:space="0" w:color="FFFFFF"/>
              <w:bottom w:val="nil"/>
              <w:right w:val="nil"/>
            </w:tcBorders>
          </w:tcPr>
          <w:p w14:paraId="64BFFB1F" w14:textId="77777777" w:rsidR="00AB6A88" w:rsidRPr="00535A4C" w:rsidRDefault="00AB6A88" w:rsidP="00927639">
            <w:pPr>
              <w:pStyle w:val="BodyText"/>
              <w:spacing w:line="240" w:lineRule="auto"/>
              <w:ind w:firstLine="0"/>
              <w:jc w:val="center"/>
              <w:rPr>
                <w:i/>
                <w:lang w:val="en-GB" w:eastAsia="en-US"/>
              </w:rPr>
            </w:pPr>
            <w:r w:rsidRPr="00535A4C">
              <w:rPr>
                <w:i/>
                <w:sz w:val="22"/>
                <w:szCs w:val="22"/>
                <w:lang w:val="en-GB" w:eastAsia="en-US"/>
              </w:rPr>
              <w:t xml:space="preserve">(EXP3 </w:t>
            </w:r>
            <w:r w:rsidRPr="00535A4C">
              <w:rPr>
                <w:i/>
                <w:sz w:val="22"/>
                <w:szCs w:val="22"/>
                <w:lang w:val="en-GB" w:eastAsia="en-US"/>
              </w:rPr>
              <w:sym w:font="Symbol" w:char="F0AE"/>
            </w:r>
            <w:r w:rsidRPr="00535A4C">
              <w:rPr>
                <w:i/>
                <w:sz w:val="22"/>
                <w:szCs w:val="22"/>
                <w:lang w:val="en-GB" w:eastAsia="en-US"/>
              </w:rPr>
              <w:t xml:space="preserve"> LR) 0.98*</w:t>
            </w:r>
          </w:p>
        </w:tc>
        <w:tc>
          <w:tcPr>
            <w:tcW w:w="1190" w:type="pct"/>
            <w:tcBorders>
              <w:top w:val="nil"/>
              <w:left w:val="nil"/>
              <w:bottom w:val="nil"/>
              <w:right w:val="nil"/>
            </w:tcBorders>
          </w:tcPr>
          <w:p w14:paraId="3411B598" w14:textId="77777777" w:rsidR="00AB6A88" w:rsidRPr="00535A4C" w:rsidRDefault="00AB6A88" w:rsidP="00927639">
            <w:pPr>
              <w:pStyle w:val="BodyText"/>
              <w:spacing w:line="240" w:lineRule="auto"/>
              <w:ind w:firstLine="0"/>
              <w:jc w:val="center"/>
              <w:rPr>
                <w:i/>
                <w:lang w:val="en-GB" w:eastAsia="en-US"/>
              </w:rPr>
            </w:pPr>
            <w:r w:rsidRPr="00535A4C">
              <w:rPr>
                <w:i/>
                <w:sz w:val="22"/>
                <w:szCs w:val="22"/>
                <w:lang w:val="en-GB" w:eastAsia="en-US"/>
              </w:rPr>
              <w:t xml:space="preserve">(LR </w:t>
            </w:r>
            <w:r w:rsidRPr="00535A4C">
              <w:rPr>
                <w:i/>
                <w:sz w:val="22"/>
                <w:szCs w:val="22"/>
                <w:lang w:val="en-GB" w:eastAsia="en-US"/>
              </w:rPr>
              <w:sym w:font="Symbol" w:char="F0AE"/>
            </w:r>
            <w:r w:rsidRPr="00535A4C">
              <w:rPr>
                <w:i/>
                <w:sz w:val="22"/>
                <w:szCs w:val="22"/>
                <w:lang w:val="en-GB" w:eastAsia="en-US"/>
              </w:rPr>
              <w:t xml:space="preserve"> EXP3) 0.89*</w:t>
            </w:r>
          </w:p>
        </w:tc>
      </w:tr>
      <w:tr w:rsidR="00AB6A88" w:rsidRPr="00535A4C" w14:paraId="45335DB8" w14:textId="77777777" w:rsidTr="00837932">
        <w:tc>
          <w:tcPr>
            <w:tcW w:w="2129" w:type="pct"/>
            <w:tcBorders>
              <w:top w:val="nil"/>
              <w:left w:val="nil"/>
              <w:bottom w:val="single" w:sz="4" w:space="0" w:color="auto"/>
              <w:right w:val="single" w:sz="4" w:space="0" w:color="FFFFFF"/>
            </w:tcBorders>
          </w:tcPr>
          <w:p w14:paraId="4026CE5B" w14:textId="77777777" w:rsidR="00AB6A88" w:rsidRPr="00535A4C" w:rsidRDefault="00AB6A88" w:rsidP="001B3046">
            <w:pPr>
              <w:pStyle w:val="BodyText"/>
              <w:spacing w:line="240" w:lineRule="auto"/>
              <w:ind w:firstLine="0"/>
              <w:jc w:val="both"/>
              <w:rPr>
                <w:lang w:val="en-GB" w:eastAsia="en-US"/>
              </w:rPr>
            </w:pPr>
            <w:r w:rsidRPr="00535A4C">
              <w:rPr>
                <w:sz w:val="22"/>
                <w:szCs w:val="22"/>
                <w:lang w:val="en-GB" w:eastAsia="en-US"/>
              </w:rPr>
              <w:t>MSSA forecast MSE of LR (PPG as second series)</w:t>
            </w:r>
          </w:p>
        </w:tc>
        <w:tc>
          <w:tcPr>
            <w:tcW w:w="1681" w:type="pct"/>
            <w:tcBorders>
              <w:top w:val="nil"/>
              <w:left w:val="single" w:sz="4" w:space="0" w:color="FFFFFF"/>
              <w:bottom w:val="single" w:sz="4" w:space="0" w:color="auto"/>
              <w:right w:val="nil"/>
            </w:tcBorders>
          </w:tcPr>
          <w:p w14:paraId="2BC74663"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 xml:space="preserve">(PPG </w:t>
            </w:r>
            <w:r w:rsidRPr="00535A4C">
              <w:rPr>
                <w:sz w:val="22"/>
                <w:szCs w:val="22"/>
                <w:lang w:val="en-GB" w:eastAsia="en-US"/>
              </w:rPr>
              <w:sym w:font="Symbol" w:char="F0AE"/>
            </w:r>
            <w:r w:rsidRPr="00535A4C">
              <w:rPr>
                <w:sz w:val="22"/>
                <w:szCs w:val="22"/>
                <w:lang w:val="en-GB" w:eastAsia="en-US"/>
              </w:rPr>
              <w:t xml:space="preserve"> LR) 0.98*</w:t>
            </w:r>
          </w:p>
        </w:tc>
        <w:tc>
          <w:tcPr>
            <w:tcW w:w="1190" w:type="pct"/>
            <w:tcBorders>
              <w:top w:val="nil"/>
              <w:left w:val="nil"/>
              <w:bottom w:val="single" w:sz="4" w:space="0" w:color="auto"/>
              <w:right w:val="nil"/>
            </w:tcBorders>
          </w:tcPr>
          <w:p w14:paraId="16E408D4"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 xml:space="preserve">(LR </w:t>
            </w:r>
            <w:r w:rsidRPr="00535A4C">
              <w:rPr>
                <w:sz w:val="22"/>
                <w:szCs w:val="22"/>
                <w:lang w:val="en-GB" w:eastAsia="en-US"/>
              </w:rPr>
              <w:sym w:font="Symbol" w:char="F0AE"/>
            </w:r>
            <w:r w:rsidRPr="00535A4C">
              <w:rPr>
                <w:sz w:val="22"/>
                <w:szCs w:val="22"/>
                <w:lang w:val="en-GB" w:eastAsia="en-US"/>
              </w:rPr>
              <w:t xml:space="preserve"> PPG) 1.70</w:t>
            </w:r>
          </w:p>
        </w:tc>
      </w:tr>
    </w:tbl>
    <w:p w14:paraId="5E9F383B" w14:textId="77777777" w:rsidR="00AB6A88" w:rsidRPr="00535A4C" w:rsidRDefault="00AB6A88" w:rsidP="00E8204B">
      <w:pPr>
        <w:pStyle w:val="BodyText"/>
        <w:ind w:firstLine="0"/>
        <w:jc w:val="both"/>
        <w:rPr>
          <w:sz w:val="22"/>
          <w:szCs w:val="22"/>
          <w:lang w:val="en-GB"/>
        </w:rPr>
      </w:pPr>
      <w:r w:rsidRPr="00535A4C">
        <w:rPr>
          <w:sz w:val="22"/>
          <w:szCs w:val="22"/>
          <w:lang w:val="en-GB"/>
        </w:rPr>
        <w:t>Source: Author’s calculation</w:t>
      </w:r>
      <w:r w:rsidR="00803F93">
        <w:rPr>
          <w:sz w:val="22"/>
          <w:szCs w:val="22"/>
          <w:lang w:val="en-GB"/>
        </w:rPr>
        <w:t>s</w:t>
      </w:r>
    </w:p>
    <w:p w14:paraId="1D3D07DA" w14:textId="77777777" w:rsidR="00AB6A88" w:rsidRPr="00535A4C" w:rsidRDefault="00AB6A88" w:rsidP="00E8204B">
      <w:pPr>
        <w:pStyle w:val="TableNotes"/>
        <w:jc w:val="both"/>
        <w:rPr>
          <w:i/>
        </w:rPr>
      </w:pPr>
      <w:r w:rsidRPr="00535A4C">
        <w:rPr>
          <w:i/>
        </w:rPr>
        <w:t xml:space="preserve">Notes.  </w:t>
      </w:r>
      <w:r w:rsidRPr="00535A4C">
        <w:t xml:space="preserve">(X </w:t>
      </w:r>
      <w:r w:rsidRPr="00535A4C">
        <w:rPr>
          <w:szCs w:val="18"/>
        </w:rPr>
        <w:sym w:font="Symbol" w:char="F0AE"/>
      </w:r>
      <w:r w:rsidRPr="00535A4C">
        <w:t xml:space="preserve"> Y) X Granger cause</w:t>
      </w:r>
      <w:r w:rsidRPr="00535A4C">
        <w:rPr>
          <w:i/>
        </w:rPr>
        <w:t xml:space="preserve"> Y </w:t>
      </w:r>
      <w:r w:rsidRPr="00535A4C">
        <w:t>and</w:t>
      </w:r>
      <w:r w:rsidRPr="00535A4C">
        <w:rPr>
          <w:i/>
        </w:rPr>
        <w:t xml:space="preserve">  </w:t>
      </w:r>
      <w:r w:rsidRPr="00535A4C">
        <w:t xml:space="preserve">(Y </w:t>
      </w:r>
      <w:r w:rsidRPr="00535A4C">
        <w:rPr>
          <w:szCs w:val="18"/>
        </w:rPr>
        <w:sym w:font="Symbol" w:char="F0AE"/>
      </w:r>
      <w:r w:rsidRPr="00535A4C">
        <w:t xml:space="preserve"> X) Y Granger cause X</w:t>
      </w:r>
      <w:r w:rsidR="00304C2E">
        <w:t>, results statistically significant at 5% level.</w:t>
      </w:r>
    </w:p>
    <w:p w14:paraId="4962F68F" w14:textId="77777777" w:rsidR="00AB6A88" w:rsidRPr="00535A4C" w:rsidRDefault="00AB6A88" w:rsidP="00E8204B">
      <w:pPr>
        <w:pStyle w:val="TableNotes"/>
        <w:jc w:val="both"/>
      </w:pPr>
      <w:r w:rsidRPr="00535A4C">
        <w:rPr>
          <w:i/>
        </w:rPr>
        <w:t xml:space="preserve">MSE – mean squared forecast error, </w:t>
      </w:r>
      <w:r w:rsidR="00045DEB" w:rsidRPr="00F13DC8">
        <w:rPr>
          <w:noProof/>
          <w:position w:val="-10"/>
          <w:lang w:val="en-US"/>
        </w:rPr>
        <w:drawing>
          <wp:inline distT="0" distB="0" distL="0" distR="0" wp14:anchorId="2415815F" wp14:editId="6810E39D">
            <wp:extent cx="340360" cy="228600"/>
            <wp:effectExtent l="0" t="0" r="0" b="0"/>
            <wp:docPr id="2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0360" cy="228600"/>
                    </a:xfrm>
                    <a:prstGeom prst="rect">
                      <a:avLst/>
                    </a:prstGeom>
                    <a:noFill/>
                    <a:ln>
                      <a:noFill/>
                    </a:ln>
                  </pic:spPr>
                </pic:pic>
              </a:graphicData>
            </a:graphic>
          </wp:inline>
        </w:drawing>
      </w:r>
      <w:r w:rsidRPr="00535A4C">
        <w:t>Granger causality multivariate spectral criterion</w:t>
      </w:r>
      <w:r w:rsidR="00C14633" w:rsidRPr="00535A4C">
        <w:t xml:space="preserve">, * </w:t>
      </w:r>
      <w:r w:rsidR="003E5A19" w:rsidRPr="00535A4C">
        <w:t>Granger cause</w:t>
      </w:r>
    </w:p>
    <w:p w14:paraId="7499A6E9" w14:textId="77777777" w:rsidR="00AB6A88" w:rsidRPr="00535A4C" w:rsidRDefault="00AB6A88" w:rsidP="00E8204B">
      <w:pPr>
        <w:pStyle w:val="BodyText"/>
        <w:jc w:val="both"/>
        <w:rPr>
          <w:lang w:val="en-GB"/>
        </w:rPr>
      </w:pPr>
    </w:p>
    <w:p w14:paraId="45A5261D" w14:textId="77777777" w:rsidR="00AB6A88" w:rsidRPr="00535A4C" w:rsidRDefault="00AB6A88" w:rsidP="00E8204B">
      <w:pPr>
        <w:pStyle w:val="BodyText"/>
        <w:jc w:val="both"/>
        <w:rPr>
          <w:lang w:val="en-GB"/>
        </w:rPr>
      </w:pPr>
      <w:r w:rsidRPr="00535A4C">
        <w:rPr>
          <w:lang w:val="en-GB"/>
        </w:rPr>
        <w:lastRenderedPageBreak/>
        <w:t xml:space="preserve">For example, </w:t>
      </w:r>
      <w:r w:rsidR="00D40D75">
        <w:rPr>
          <w:lang w:val="en-GB"/>
        </w:rPr>
        <w:t xml:space="preserve">using </w:t>
      </w:r>
      <w:r w:rsidRPr="00535A4C">
        <w:rPr>
          <w:lang w:val="en-GB"/>
        </w:rPr>
        <w:t xml:space="preserve">extra information from the LCPI series (MSSA) </w:t>
      </w:r>
      <w:r w:rsidR="008B6AA7">
        <w:rPr>
          <w:lang w:val="en-GB"/>
        </w:rPr>
        <w:t xml:space="preserve">improves the accuracy of the one-step ahead forecast </w:t>
      </w:r>
      <w:r w:rsidRPr="00535A4C">
        <w:rPr>
          <w:lang w:val="en-GB"/>
        </w:rPr>
        <w:t xml:space="preserve">compared to the </w:t>
      </w:r>
      <w:proofErr w:type="spellStart"/>
      <w:r w:rsidRPr="00535A4C">
        <w:rPr>
          <w:lang w:val="en-GB"/>
        </w:rPr>
        <w:t>univariate</w:t>
      </w:r>
      <w:proofErr w:type="spellEnd"/>
      <w:r w:rsidRPr="00535A4C">
        <w:rPr>
          <w:lang w:val="en-GB"/>
        </w:rPr>
        <w:t xml:space="preserve"> forecast</w:t>
      </w:r>
      <w:r w:rsidR="008B6AA7">
        <w:rPr>
          <w:lang w:val="en-GB"/>
        </w:rPr>
        <w:t xml:space="preserve"> </w:t>
      </w:r>
      <w:r w:rsidRPr="00535A4C">
        <w:rPr>
          <w:lang w:val="en-GB"/>
        </w:rPr>
        <w:t>(SSA). The same holds for</w:t>
      </w:r>
      <w:r w:rsidR="00966BE7" w:rsidRPr="00535A4C">
        <w:rPr>
          <w:lang w:val="en-GB"/>
        </w:rPr>
        <w:t xml:space="preserve"> the</w:t>
      </w:r>
      <w:r w:rsidRPr="00535A4C">
        <w:rPr>
          <w:lang w:val="en-GB"/>
        </w:rPr>
        <w:t xml:space="preserve"> return on capital, money supply, </w:t>
      </w:r>
      <w:r w:rsidR="008B6AA7">
        <w:rPr>
          <w:lang w:val="en-GB"/>
        </w:rPr>
        <w:t xml:space="preserve">the </w:t>
      </w:r>
      <w:r w:rsidRPr="00535A4C">
        <w:rPr>
          <w:lang w:val="en-GB"/>
        </w:rPr>
        <w:t>official discount DNB rate, expected infla</w:t>
      </w:r>
      <w:r w:rsidR="008B6AA7">
        <w:rPr>
          <w:lang w:val="en-GB"/>
        </w:rPr>
        <w:t>tion and purchasing power</w:t>
      </w:r>
      <w:r w:rsidRPr="00535A4C">
        <w:rPr>
          <w:lang w:val="en-GB"/>
        </w:rPr>
        <w:t xml:space="preserve">. </w:t>
      </w:r>
      <w:r w:rsidR="00487A9C">
        <w:rPr>
          <w:lang w:val="en-GB"/>
        </w:rPr>
        <w:t>As a check of the</w:t>
      </w:r>
      <w:r w:rsidRPr="00535A4C">
        <w:rPr>
          <w:lang w:val="en-GB"/>
        </w:rPr>
        <w:t xml:space="preserve"> spectral Granger causality </w:t>
      </w:r>
      <w:r w:rsidR="006D6503">
        <w:rPr>
          <w:lang w:val="en-GB"/>
        </w:rPr>
        <w:t xml:space="preserve">test </w:t>
      </w:r>
      <w:r w:rsidRPr="00535A4C">
        <w:rPr>
          <w:lang w:val="en-GB"/>
        </w:rPr>
        <w:t>results,</w:t>
      </w:r>
      <w:r w:rsidR="008B6AA7">
        <w:rPr>
          <w:lang w:val="en-GB"/>
        </w:rPr>
        <w:t xml:space="preserve"> the</w:t>
      </w:r>
      <w:r w:rsidRPr="00535A4C">
        <w:rPr>
          <w:lang w:val="en-GB"/>
        </w:rPr>
        <w:t xml:space="preserve"> </w:t>
      </w:r>
      <w:r w:rsidRPr="00535A4C">
        <w:rPr>
          <w:lang w:val="en-GB"/>
        </w:rPr>
        <w:fldChar w:fldCharType="begin"/>
      </w:r>
      <w:r w:rsidR="00C57097" w:rsidRPr="00535A4C">
        <w:rPr>
          <w:lang w:val="en-GB"/>
        </w:rPr>
        <w:instrText xml:space="preserve"> ADDIN PAPERS2_CITATIONS &lt;citation&gt;&lt;uuid&gt;EB4E1703-E53D-4BAC-B8F0-829DDB9AAE75&lt;/uuid&gt;&lt;priority&gt;57&lt;/priority&gt;&lt;publications&gt;&lt;publication&gt;&lt;volume&gt;13&lt;/volume&gt;&lt;startpage&gt;253&lt;/startpage&gt;&lt;title&gt;Comparing Predictive Accuracy&lt;/title&gt;&lt;uuid&gt;BE211F1B-15D5-4F0C-87BB-EF6BE94329FB&lt;/uuid&gt;&lt;subtype&gt;400&lt;/subtype&gt;&lt;endpage&gt;265&lt;/endpage&gt;&lt;type&gt;400&lt;/type&gt;&lt;publication_date&gt;99199500001200000000200000&lt;/publication_date&gt;&lt;bundle&gt;&lt;publication&gt;&lt;title&gt;Journal of Business &amp;amp;amp; Economic Statistics&lt;/title&gt;&lt;type&gt;-100&lt;/type&gt;&lt;subtype&gt;-100&lt;/subtype&gt;&lt;uuid&gt;314A471D-4F7F-4A48-845B-CF40D75FEF9C&lt;/uuid&gt;&lt;/publication&gt;&lt;/bundle&gt;&lt;authors&gt;&lt;author&gt;&lt;firstName&gt;Roberto&lt;/firstName&gt;&lt;middleNames&gt;S&lt;/middleNames&gt;&lt;lastName&gt;Mariano&lt;/lastName&gt;&lt;/author&gt;&lt;author&gt;&lt;firstName&gt;Francis&lt;/firstName&gt;&lt;middleNames&gt;X&lt;/middleNames&gt;&lt;lastName&gt;Diebold&lt;/lastName&gt;&lt;/author&gt;&lt;/authors&gt;&lt;/publication&gt;&lt;/publications&gt;&lt;cites&gt;&lt;/cites&gt;&lt;/citation&gt;</w:instrText>
      </w:r>
      <w:r w:rsidRPr="00535A4C">
        <w:rPr>
          <w:lang w:val="en-GB"/>
        </w:rPr>
        <w:fldChar w:fldCharType="separate"/>
      </w:r>
      <w:r w:rsidR="00304C2E">
        <w:rPr>
          <w:lang w:val="en-GB"/>
        </w:rPr>
        <w:t>Mariano and</w:t>
      </w:r>
      <w:r w:rsidRPr="00535A4C">
        <w:rPr>
          <w:lang w:val="en-GB"/>
        </w:rPr>
        <w:t xml:space="preserve"> Diebold </w:t>
      </w:r>
      <w:r w:rsidR="006D6503">
        <w:rPr>
          <w:lang w:val="en-GB"/>
        </w:rPr>
        <w:t>(</w:t>
      </w:r>
      <w:r w:rsidRPr="00535A4C">
        <w:rPr>
          <w:lang w:val="en-GB"/>
        </w:rPr>
        <w:t>1995)</w:t>
      </w:r>
      <w:r w:rsidRPr="00535A4C">
        <w:rPr>
          <w:lang w:val="en-GB"/>
        </w:rPr>
        <w:fldChar w:fldCharType="end"/>
      </w:r>
      <w:r w:rsidR="00D40D75">
        <w:rPr>
          <w:lang w:val="en-GB"/>
        </w:rPr>
        <w:t xml:space="preserve"> statistical test is </w:t>
      </w:r>
      <w:r w:rsidR="00487A9C">
        <w:rPr>
          <w:lang w:val="en-GB"/>
        </w:rPr>
        <w:t xml:space="preserve">then </w:t>
      </w:r>
      <w:r w:rsidR="00D40D75">
        <w:rPr>
          <w:lang w:val="en-GB"/>
        </w:rPr>
        <w:t>appli</w:t>
      </w:r>
      <w:r w:rsidR="008B6AA7">
        <w:rPr>
          <w:lang w:val="en-GB"/>
        </w:rPr>
        <w:t>ed (see T</w:t>
      </w:r>
      <w:r w:rsidRPr="00535A4C">
        <w:rPr>
          <w:lang w:val="en-GB"/>
        </w:rPr>
        <w:t xml:space="preserve">able 5). </w:t>
      </w:r>
    </w:p>
    <w:p w14:paraId="6BB40EE8" w14:textId="77777777" w:rsidR="005A5B4E" w:rsidRDefault="005A5B4E" w:rsidP="00E8204B">
      <w:pPr>
        <w:pStyle w:val="BodyText"/>
        <w:ind w:firstLine="0"/>
        <w:jc w:val="both"/>
        <w:rPr>
          <w:lang w:val="en-GB"/>
        </w:rPr>
      </w:pPr>
    </w:p>
    <w:p w14:paraId="75ACDB74" w14:textId="77777777" w:rsidR="005A5B4E" w:rsidRDefault="005A5B4E" w:rsidP="00E8204B">
      <w:pPr>
        <w:pStyle w:val="BodyText"/>
        <w:ind w:firstLine="0"/>
        <w:jc w:val="both"/>
        <w:rPr>
          <w:lang w:val="en-GB"/>
        </w:rPr>
      </w:pPr>
    </w:p>
    <w:p w14:paraId="036BF70B" w14:textId="77777777" w:rsidR="00AB6A88" w:rsidRPr="00535A4C" w:rsidRDefault="00AB6A88" w:rsidP="00E8204B">
      <w:pPr>
        <w:pStyle w:val="BodyText"/>
        <w:ind w:firstLine="0"/>
        <w:jc w:val="both"/>
        <w:rPr>
          <w:lang w:val="en-GB"/>
        </w:rPr>
      </w:pPr>
      <w:r w:rsidRPr="00535A4C">
        <w:rPr>
          <w:lang w:val="en-GB"/>
        </w:rPr>
        <w:t>Table 5</w:t>
      </w:r>
    </w:p>
    <w:p w14:paraId="5FF104E3" w14:textId="77777777" w:rsidR="00AB6A88" w:rsidRPr="00535A4C" w:rsidRDefault="00AB6A88" w:rsidP="00E8204B">
      <w:pPr>
        <w:pStyle w:val="BodyText"/>
        <w:ind w:firstLine="0"/>
        <w:jc w:val="both"/>
        <w:rPr>
          <w:sz w:val="22"/>
          <w:szCs w:val="22"/>
          <w:lang w:val="en-GB"/>
        </w:rPr>
      </w:pPr>
      <w:r w:rsidRPr="00535A4C">
        <w:rPr>
          <w:i/>
          <w:sz w:val="22"/>
          <w:szCs w:val="22"/>
          <w:lang w:val="en-GB"/>
        </w:rPr>
        <w:t>Diebold-Mariano Test Statistics for h Step Ahead Forecast (h=40)</w:t>
      </w:r>
    </w:p>
    <w:tbl>
      <w:tblPr>
        <w:tblW w:w="5000" w:type="pct"/>
        <w:tblBorders>
          <w:top w:val="single" w:sz="12" w:space="0" w:color="000000"/>
          <w:bottom w:val="single" w:sz="12" w:space="0" w:color="000000"/>
        </w:tblBorders>
        <w:tblLook w:val="00A0" w:firstRow="1" w:lastRow="0" w:firstColumn="1" w:lastColumn="0" w:noHBand="0" w:noVBand="0"/>
      </w:tblPr>
      <w:tblGrid>
        <w:gridCol w:w="3933"/>
        <w:gridCol w:w="3105"/>
        <w:gridCol w:w="2198"/>
      </w:tblGrid>
      <w:tr w:rsidR="00AB6A88" w:rsidRPr="00535A4C" w14:paraId="3453B7BC" w14:textId="77777777" w:rsidTr="002B3ECD">
        <w:tc>
          <w:tcPr>
            <w:tcW w:w="2129" w:type="pct"/>
            <w:tcBorders>
              <w:top w:val="single" w:sz="12" w:space="0" w:color="000000"/>
              <w:left w:val="nil"/>
              <w:bottom w:val="single" w:sz="6" w:space="0" w:color="000000"/>
              <w:right w:val="single" w:sz="4" w:space="0" w:color="FFFFFF"/>
            </w:tcBorders>
          </w:tcPr>
          <w:p w14:paraId="3C555287" w14:textId="77777777" w:rsidR="00AB6A88" w:rsidRPr="00535A4C" w:rsidRDefault="00AB6A88" w:rsidP="001B3046">
            <w:pPr>
              <w:pStyle w:val="BodyText"/>
              <w:spacing w:line="240" w:lineRule="auto"/>
              <w:ind w:firstLine="0"/>
              <w:jc w:val="both"/>
              <w:rPr>
                <w:i/>
                <w:iCs/>
                <w:lang w:val="en-GB" w:eastAsia="en-US"/>
              </w:rPr>
            </w:pPr>
            <w:r w:rsidRPr="00535A4C">
              <w:rPr>
                <w:i/>
                <w:iCs/>
                <w:sz w:val="22"/>
                <w:szCs w:val="22"/>
                <w:lang w:val="en-GB" w:eastAsia="en-US"/>
              </w:rPr>
              <w:t>Forecasting Method</w:t>
            </w:r>
          </w:p>
        </w:tc>
        <w:tc>
          <w:tcPr>
            <w:tcW w:w="1681" w:type="pct"/>
            <w:tcBorders>
              <w:top w:val="single" w:sz="12" w:space="0" w:color="000000"/>
              <w:left w:val="single" w:sz="4" w:space="0" w:color="FFFFFF"/>
              <w:bottom w:val="single" w:sz="6" w:space="0" w:color="000000"/>
              <w:right w:val="nil"/>
            </w:tcBorders>
          </w:tcPr>
          <w:p w14:paraId="304BEB9F" w14:textId="77777777" w:rsidR="00AB6A88" w:rsidRPr="00535A4C" w:rsidRDefault="00AB6A88" w:rsidP="00927639">
            <w:pPr>
              <w:pStyle w:val="BodyText"/>
              <w:spacing w:line="240" w:lineRule="auto"/>
              <w:ind w:firstLine="0"/>
              <w:jc w:val="center"/>
              <w:rPr>
                <w:iCs/>
                <w:lang w:val="en-GB" w:eastAsia="en-US"/>
              </w:rPr>
            </w:pPr>
            <w:r w:rsidRPr="00535A4C">
              <w:rPr>
                <w:i/>
                <w:iCs/>
                <w:sz w:val="22"/>
                <w:szCs w:val="22"/>
                <w:lang w:val="en-GB" w:eastAsia="en-US"/>
              </w:rPr>
              <w:t>Test Statistics</w:t>
            </w:r>
          </w:p>
        </w:tc>
        <w:tc>
          <w:tcPr>
            <w:tcW w:w="1190" w:type="pct"/>
            <w:tcBorders>
              <w:top w:val="single" w:sz="12" w:space="0" w:color="000000"/>
              <w:left w:val="nil"/>
              <w:bottom w:val="single" w:sz="6" w:space="0" w:color="000000"/>
              <w:right w:val="nil"/>
            </w:tcBorders>
          </w:tcPr>
          <w:p w14:paraId="6B9AFFC9" w14:textId="77777777" w:rsidR="00AB6A88" w:rsidRPr="00535A4C" w:rsidRDefault="00AB6A88" w:rsidP="00927639">
            <w:pPr>
              <w:pStyle w:val="BodyText"/>
              <w:spacing w:line="240" w:lineRule="auto"/>
              <w:ind w:firstLine="0"/>
              <w:jc w:val="center"/>
              <w:rPr>
                <w:iCs/>
                <w:lang w:val="en-GB" w:eastAsia="en-US"/>
              </w:rPr>
            </w:pPr>
            <w:r w:rsidRPr="00535A4C">
              <w:rPr>
                <w:iCs/>
                <w:sz w:val="22"/>
                <w:szCs w:val="22"/>
                <w:lang w:val="en-GB" w:eastAsia="en-US"/>
              </w:rPr>
              <w:t>P-value</w:t>
            </w:r>
          </w:p>
        </w:tc>
      </w:tr>
      <w:tr w:rsidR="00AB6A88" w:rsidRPr="00535A4C" w14:paraId="2AD156DA" w14:textId="77777777" w:rsidTr="002B3ECD">
        <w:tc>
          <w:tcPr>
            <w:tcW w:w="2129" w:type="pct"/>
            <w:tcBorders>
              <w:top w:val="nil"/>
              <w:left w:val="nil"/>
              <w:bottom w:val="nil"/>
              <w:right w:val="single" w:sz="4" w:space="0" w:color="FFFFFF"/>
            </w:tcBorders>
          </w:tcPr>
          <w:p w14:paraId="0ABC6890" w14:textId="77777777" w:rsidR="00AB6A88" w:rsidRPr="00535A4C" w:rsidRDefault="00AB6A88" w:rsidP="001B3046">
            <w:pPr>
              <w:pStyle w:val="BodyText"/>
              <w:spacing w:line="240" w:lineRule="auto"/>
              <w:ind w:firstLine="0"/>
              <w:jc w:val="both"/>
              <w:rPr>
                <w:lang w:val="en-GB" w:eastAsia="en-US"/>
              </w:rPr>
            </w:pPr>
            <w:r w:rsidRPr="00535A4C">
              <w:rPr>
                <w:sz w:val="22"/>
                <w:szCs w:val="22"/>
                <w:lang w:val="en-GB" w:eastAsia="en-US"/>
              </w:rPr>
              <w:t>SSA of LR</w:t>
            </w:r>
          </w:p>
        </w:tc>
        <w:tc>
          <w:tcPr>
            <w:tcW w:w="1681" w:type="pct"/>
            <w:tcBorders>
              <w:top w:val="nil"/>
              <w:left w:val="single" w:sz="4" w:space="0" w:color="FFFFFF"/>
              <w:bottom w:val="nil"/>
              <w:right w:val="nil"/>
            </w:tcBorders>
          </w:tcPr>
          <w:p w14:paraId="790417CD"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1.424</w:t>
            </w:r>
          </w:p>
        </w:tc>
        <w:tc>
          <w:tcPr>
            <w:tcW w:w="1190" w:type="pct"/>
            <w:tcBorders>
              <w:top w:val="nil"/>
              <w:left w:val="nil"/>
              <w:bottom w:val="nil"/>
              <w:right w:val="nil"/>
            </w:tcBorders>
          </w:tcPr>
          <w:p w14:paraId="2D121C38"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w:t>
            </w:r>
          </w:p>
        </w:tc>
      </w:tr>
      <w:tr w:rsidR="00AB6A88" w:rsidRPr="00535A4C" w14:paraId="6E4BDADE" w14:textId="77777777" w:rsidTr="002B3ECD">
        <w:tc>
          <w:tcPr>
            <w:tcW w:w="2129" w:type="pct"/>
            <w:tcBorders>
              <w:top w:val="nil"/>
              <w:left w:val="nil"/>
              <w:bottom w:val="nil"/>
              <w:right w:val="single" w:sz="4" w:space="0" w:color="FFFFFF"/>
            </w:tcBorders>
          </w:tcPr>
          <w:p w14:paraId="3BFDC01D" w14:textId="77777777" w:rsidR="00AB6A88" w:rsidRPr="00535A4C" w:rsidRDefault="00AB6A88" w:rsidP="001B3046">
            <w:pPr>
              <w:pStyle w:val="BodyText"/>
              <w:spacing w:line="240" w:lineRule="auto"/>
              <w:ind w:firstLine="0"/>
              <w:jc w:val="both"/>
              <w:rPr>
                <w:lang w:val="en-GB" w:eastAsia="en-US"/>
              </w:rPr>
            </w:pPr>
            <w:r w:rsidRPr="00535A4C">
              <w:rPr>
                <w:sz w:val="22"/>
                <w:szCs w:val="22"/>
                <w:lang w:val="en-GB" w:eastAsia="en-US"/>
              </w:rPr>
              <w:t>SSA of LR against MSSA of LR (LCPI as second series)</w:t>
            </w:r>
          </w:p>
        </w:tc>
        <w:tc>
          <w:tcPr>
            <w:tcW w:w="1681" w:type="pct"/>
            <w:tcBorders>
              <w:top w:val="nil"/>
              <w:left w:val="single" w:sz="4" w:space="0" w:color="FFFFFF"/>
              <w:bottom w:val="nil"/>
              <w:right w:val="nil"/>
            </w:tcBorders>
          </w:tcPr>
          <w:p w14:paraId="10BFE6FD"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1.423*</w:t>
            </w:r>
          </w:p>
        </w:tc>
        <w:tc>
          <w:tcPr>
            <w:tcW w:w="1190" w:type="pct"/>
            <w:tcBorders>
              <w:top w:val="nil"/>
              <w:left w:val="nil"/>
              <w:bottom w:val="nil"/>
              <w:right w:val="nil"/>
            </w:tcBorders>
          </w:tcPr>
          <w:p w14:paraId="2D0D3235"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0.92</w:t>
            </w:r>
          </w:p>
        </w:tc>
      </w:tr>
      <w:tr w:rsidR="00AB6A88" w:rsidRPr="00535A4C" w14:paraId="1B107C04" w14:textId="77777777" w:rsidTr="002B3ECD">
        <w:tc>
          <w:tcPr>
            <w:tcW w:w="2129" w:type="pct"/>
            <w:tcBorders>
              <w:top w:val="nil"/>
              <w:left w:val="nil"/>
              <w:bottom w:val="nil"/>
              <w:right w:val="single" w:sz="4" w:space="0" w:color="FFFFFF"/>
            </w:tcBorders>
          </w:tcPr>
          <w:p w14:paraId="6F1858A7" w14:textId="77777777" w:rsidR="00AB6A88" w:rsidRPr="00535A4C" w:rsidRDefault="00AB6A88" w:rsidP="001B3046">
            <w:pPr>
              <w:pStyle w:val="BodyText"/>
              <w:spacing w:line="240" w:lineRule="auto"/>
              <w:ind w:firstLine="0"/>
              <w:jc w:val="both"/>
              <w:rPr>
                <w:lang w:val="en-GB" w:eastAsia="en-US"/>
              </w:rPr>
            </w:pPr>
            <w:r w:rsidRPr="00535A4C">
              <w:rPr>
                <w:sz w:val="22"/>
                <w:szCs w:val="22"/>
                <w:lang w:val="en-GB" w:eastAsia="en-US"/>
              </w:rPr>
              <w:t>SSA of LR against MSSA of LR (RORK2 as second series)</w:t>
            </w:r>
          </w:p>
        </w:tc>
        <w:tc>
          <w:tcPr>
            <w:tcW w:w="1681" w:type="pct"/>
            <w:tcBorders>
              <w:top w:val="nil"/>
              <w:left w:val="single" w:sz="4" w:space="0" w:color="FFFFFF"/>
              <w:bottom w:val="nil"/>
              <w:right w:val="nil"/>
            </w:tcBorders>
          </w:tcPr>
          <w:p w14:paraId="140DEEFD"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1.416*</w:t>
            </w:r>
          </w:p>
        </w:tc>
        <w:tc>
          <w:tcPr>
            <w:tcW w:w="1190" w:type="pct"/>
            <w:tcBorders>
              <w:top w:val="nil"/>
              <w:left w:val="nil"/>
              <w:bottom w:val="nil"/>
              <w:right w:val="nil"/>
            </w:tcBorders>
          </w:tcPr>
          <w:p w14:paraId="75961E2C"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0.47</w:t>
            </w:r>
          </w:p>
        </w:tc>
      </w:tr>
      <w:tr w:rsidR="00AB6A88" w:rsidRPr="00535A4C" w14:paraId="7FF0DE96" w14:textId="77777777" w:rsidTr="002B3ECD">
        <w:tc>
          <w:tcPr>
            <w:tcW w:w="2129" w:type="pct"/>
            <w:tcBorders>
              <w:top w:val="nil"/>
              <w:left w:val="nil"/>
              <w:bottom w:val="nil"/>
              <w:right w:val="single" w:sz="4" w:space="0" w:color="FFFFFF"/>
            </w:tcBorders>
          </w:tcPr>
          <w:p w14:paraId="62726D02" w14:textId="77777777" w:rsidR="00AB6A88" w:rsidRPr="00535A4C" w:rsidRDefault="00AB6A88" w:rsidP="001B3046">
            <w:pPr>
              <w:pStyle w:val="BodyText"/>
              <w:spacing w:line="240" w:lineRule="auto"/>
              <w:ind w:firstLine="0"/>
              <w:jc w:val="both"/>
              <w:rPr>
                <w:lang w:val="en-GB" w:eastAsia="en-US"/>
              </w:rPr>
            </w:pPr>
            <w:r w:rsidRPr="00535A4C">
              <w:rPr>
                <w:sz w:val="22"/>
                <w:szCs w:val="22"/>
                <w:lang w:val="en-GB" w:eastAsia="en-US"/>
              </w:rPr>
              <w:t>SSA of LR against MSSA of LR (M1 as second series)</w:t>
            </w:r>
          </w:p>
        </w:tc>
        <w:tc>
          <w:tcPr>
            <w:tcW w:w="1681" w:type="pct"/>
            <w:tcBorders>
              <w:top w:val="nil"/>
              <w:left w:val="single" w:sz="4" w:space="0" w:color="FFFFFF"/>
              <w:bottom w:val="nil"/>
              <w:right w:val="nil"/>
            </w:tcBorders>
          </w:tcPr>
          <w:p w14:paraId="5ACCD179"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1.442</w:t>
            </w:r>
          </w:p>
        </w:tc>
        <w:tc>
          <w:tcPr>
            <w:tcW w:w="1190" w:type="pct"/>
            <w:tcBorders>
              <w:top w:val="nil"/>
              <w:left w:val="nil"/>
              <w:bottom w:val="nil"/>
              <w:right w:val="nil"/>
            </w:tcBorders>
          </w:tcPr>
          <w:p w14:paraId="7E8CF06F"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0.53</w:t>
            </w:r>
          </w:p>
        </w:tc>
      </w:tr>
      <w:tr w:rsidR="00AB6A88" w:rsidRPr="00535A4C" w14:paraId="4E725C36" w14:textId="77777777" w:rsidTr="002B3ECD">
        <w:tc>
          <w:tcPr>
            <w:tcW w:w="2129" w:type="pct"/>
            <w:tcBorders>
              <w:top w:val="nil"/>
              <w:left w:val="nil"/>
              <w:bottom w:val="nil"/>
              <w:right w:val="single" w:sz="4" w:space="0" w:color="FFFFFF"/>
            </w:tcBorders>
          </w:tcPr>
          <w:p w14:paraId="569821E4" w14:textId="77777777" w:rsidR="00AB6A88" w:rsidRPr="00535A4C" w:rsidRDefault="00AB6A88" w:rsidP="001B3046">
            <w:pPr>
              <w:pStyle w:val="BodyText"/>
              <w:spacing w:line="240" w:lineRule="auto"/>
              <w:ind w:firstLine="0"/>
              <w:jc w:val="both"/>
              <w:rPr>
                <w:lang w:val="en-GB" w:eastAsia="en-US"/>
              </w:rPr>
            </w:pPr>
            <w:r w:rsidRPr="00535A4C">
              <w:rPr>
                <w:sz w:val="22"/>
                <w:szCs w:val="22"/>
                <w:lang w:val="en-GB" w:eastAsia="en-US"/>
              </w:rPr>
              <w:t>SSA of LR against MSSA of LR (EXPP as second series)</w:t>
            </w:r>
          </w:p>
        </w:tc>
        <w:tc>
          <w:tcPr>
            <w:tcW w:w="1681" w:type="pct"/>
            <w:tcBorders>
              <w:top w:val="nil"/>
              <w:left w:val="single" w:sz="4" w:space="0" w:color="FFFFFF"/>
              <w:bottom w:val="nil"/>
              <w:right w:val="nil"/>
            </w:tcBorders>
          </w:tcPr>
          <w:p w14:paraId="25591C58"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1.438</w:t>
            </w:r>
          </w:p>
        </w:tc>
        <w:tc>
          <w:tcPr>
            <w:tcW w:w="1190" w:type="pct"/>
            <w:tcBorders>
              <w:top w:val="nil"/>
              <w:left w:val="nil"/>
              <w:bottom w:val="nil"/>
              <w:right w:val="nil"/>
            </w:tcBorders>
          </w:tcPr>
          <w:p w14:paraId="66A120C0"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0.36</w:t>
            </w:r>
          </w:p>
        </w:tc>
      </w:tr>
      <w:tr w:rsidR="00AB6A88" w:rsidRPr="00535A4C" w14:paraId="6D9158EE" w14:textId="77777777" w:rsidTr="002B3ECD">
        <w:tc>
          <w:tcPr>
            <w:tcW w:w="2129" w:type="pct"/>
            <w:tcBorders>
              <w:top w:val="nil"/>
              <w:left w:val="nil"/>
              <w:bottom w:val="nil"/>
              <w:right w:val="single" w:sz="4" w:space="0" w:color="FFFFFF"/>
            </w:tcBorders>
          </w:tcPr>
          <w:p w14:paraId="14486421" w14:textId="77777777" w:rsidR="00AB6A88" w:rsidRPr="00535A4C" w:rsidRDefault="00AB6A88" w:rsidP="001B3046">
            <w:pPr>
              <w:pStyle w:val="BodyText"/>
              <w:spacing w:line="240" w:lineRule="auto"/>
              <w:ind w:firstLine="0"/>
              <w:jc w:val="both"/>
              <w:rPr>
                <w:lang w:val="en-GB" w:eastAsia="en-US"/>
              </w:rPr>
            </w:pPr>
            <w:r w:rsidRPr="00535A4C">
              <w:rPr>
                <w:sz w:val="22"/>
                <w:szCs w:val="22"/>
                <w:lang w:val="en-GB" w:eastAsia="en-US"/>
              </w:rPr>
              <w:t>SSA of LR against MSSA of LR (DR as second series)</w:t>
            </w:r>
          </w:p>
        </w:tc>
        <w:tc>
          <w:tcPr>
            <w:tcW w:w="1681" w:type="pct"/>
            <w:tcBorders>
              <w:top w:val="nil"/>
              <w:left w:val="single" w:sz="4" w:space="0" w:color="FFFFFF"/>
              <w:bottom w:val="nil"/>
              <w:right w:val="nil"/>
            </w:tcBorders>
          </w:tcPr>
          <w:p w14:paraId="3835F7AB"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1.404*</w:t>
            </w:r>
          </w:p>
        </w:tc>
        <w:tc>
          <w:tcPr>
            <w:tcW w:w="1190" w:type="pct"/>
            <w:tcBorders>
              <w:top w:val="nil"/>
              <w:left w:val="nil"/>
              <w:bottom w:val="nil"/>
              <w:right w:val="nil"/>
            </w:tcBorders>
          </w:tcPr>
          <w:p w14:paraId="096B1F03"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0.05</w:t>
            </w:r>
          </w:p>
        </w:tc>
      </w:tr>
      <w:tr w:rsidR="00AB6A88" w:rsidRPr="00535A4C" w14:paraId="68ACF107" w14:textId="77777777" w:rsidTr="002B3ECD">
        <w:tc>
          <w:tcPr>
            <w:tcW w:w="2129" w:type="pct"/>
            <w:tcBorders>
              <w:top w:val="nil"/>
              <w:left w:val="nil"/>
              <w:bottom w:val="nil"/>
              <w:right w:val="single" w:sz="4" w:space="0" w:color="FFFFFF"/>
            </w:tcBorders>
          </w:tcPr>
          <w:p w14:paraId="7C0D8E0E" w14:textId="77777777" w:rsidR="00AB6A88" w:rsidRPr="00535A4C" w:rsidRDefault="00AB6A88" w:rsidP="001B3046">
            <w:pPr>
              <w:pStyle w:val="BodyText"/>
              <w:spacing w:line="240" w:lineRule="auto"/>
              <w:ind w:firstLine="0"/>
              <w:jc w:val="both"/>
              <w:rPr>
                <w:lang w:val="en-GB" w:eastAsia="en-US"/>
              </w:rPr>
            </w:pPr>
            <w:r w:rsidRPr="00535A4C">
              <w:rPr>
                <w:sz w:val="22"/>
                <w:szCs w:val="22"/>
                <w:lang w:val="en-GB" w:eastAsia="en-US"/>
              </w:rPr>
              <w:t>SSA of LR again</w:t>
            </w:r>
            <w:r w:rsidR="00994302" w:rsidRPr="00535A4C">
              <w:rPr>
                <w:sz w:val="22"/>
                <w:szCs w:val="22"/>
                <w:lang w:val="en-GB" w:eastAsia="en-US"/>
              </w:rPr>
              <w:t>st MSSA of LR (NIR</w:t>
            </w:r>
            <w:r w:rsidRPr="00535A4C">
              <w:rPr>
                <w:sz w:val="22"/>
                <w:szCs w:val="22"/>
                <w:lang w:val="en-GB" w:eastAsia="en-US"/>
              </w:rPr>
              <w:t>6 as second series)</w:t>
            </w:r>
          </w:p>
        </w:tc>
        <w:tc>
          <w:tcPr>
            <w:tcW w:w="1681" w:type="pct"/>
            <w:tcBorders>
              <w:top w:val="nil"/>
              <w:left w:val="single" w:sz="4" w:space="0" w:color="FFFFFF"/>
              <w:bottom w:val="nil"/>
              <w:right w:val="nil"/>
            </w:tcBorders>
          </w:tcPr>
          <w:p w14:paraId="2F0FA8FF"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1.457</w:t>
            </w:r>
          </w:p>
        </w:tc>
        <w:tc>
          <w:tcPr>
            <w:tcW w:w="1190" w:type="pct"/>
            <w:tcBorders>
              <w:top w:val="nil"/>
              <w:left w:val="nil"/>
              <w:bottom w:val="nil"/>
              <w:right w:val="nil"/>
            </w:tcBorders>
          </w:tcPr>
          <w:p w14:paraId="06D3067F"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0.009</w:t>
            </w:r>
          </w:p>
        </w:tc>
      </w:tr>
      <w:tr w:rsidR="00AB6A88" w:rsidRPr="00535A4C" w14:paraId="71D07C67" w14:textId="77777777" w:rsidTr="0089220D">
        <w:tc>
          <w:tcPr>
            <w:tcW w:w="2129" w:type="pct"/>
            <w:tcBorders>
              <w:top w:val="nil"/>
              <w:left w:val="nil"/>
              <w:bottom w:val="nil"/>
              <w:right w:val="single" w:sz="4" w:space="0" w:color="FFFFFF"/>
            </w:tcBorders>
          </w:tcPr>
          <w:p w14:paraId="4DA790E7" w14:textId="77777777" w:rsidR="00AB6A88" w:rsidRPr="00535A4C" w:rsidRDefault="00AB6A88" w:rsidP="001B3046">
            <w:pPr>
              <w:pStyle w:val="BodyText"/>
              <w:spacing w:line="240" w:lineRule="auto"/>
              <w:ind w:firstLine="0"/>
              <w:jc w:val="both"/>
              <w:rPr>
                <w:lang w:val="en-GB" w:eastAsia="en-US"/>
              </w:rPr>
            </w:pPr>
            <w:r w:rsidRPr="00535A4C">
              <w:rPr>
                <w:sz w:val="22"/>
                <w:szCs w:val="22"/>
                <w:lang w:val="en-GB" w:eastAsia="en-US"/>
              </w:rPr>
              <w:t>SSA of LR against MSSA of LR (EXP3 as second series)</w:t>
            </w:r>
          </w:p>
        </w:tc>
        <w:tc>
          <w:tcPr>
            <w:tcW w:w="1681" w:type="pct"/>
            <w:tcBorders>
              <w:top w:val="nil"/>
              <w:left w:val="single" w:sz="4" w:space="0" w:color="FFFFFF"/>
              <w:bottom w:val="nil"/>
              <w:right w:val="nil"/>
            </w:tcBorders>
          </w:tcPr>
          <w:p w14:paraId="306ED552"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1.403*</w:t>
            </w:r>
          </w:p>
        </w:tc>
        <w:tc>
          <w:tcPr>
            <w:tcW w:w="1190" w:type="pct"/>
            <w:tcBorders>
              <w:top w:val="nil"/>
              <w:left w:val="nil"/>
              <w:bottom w:val="nil"/>
              <w:right w:val="nil"/>
            </w:tcBorders>
          </w:tcPr>
          <w:p w14:paraId="26FA77BE"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0.27</w:t>
            </w:r>
          </w:p>
        </w:tc>
      </w:tr>
      <w:tr w:rsidR="00AB6A88" w:rsidRPr="00535A4C" w14:paraId="3CAE700A" w14:textId="77777777" w:rsidTr="0089220D">
        <w:tc>
          <w:tcPr>
            <w:tcW w:w="2129" w:type="pct"/>
            <w:tcBorders>
              <w:top w:val="nil"/>
              <w:left w:val="nil"/>
              <w:bottom w:val="single" w:sz="4" w:space="0" w:color="auto"/>
              <w:right w:val="single" w:sz="4" w:space="0" w:color="FFFFFF"/>
            </w:tcBorders>
          </w:tcPr>
          <w:p w14:paraId="66416717" w14:textId="77777777" w:rsidR="00AB6A88" w:rsidRPr="00535A4C" w:rsidRDefault="00AB6A88" w:rsidP="001B3046">
            <w:pPr>
              <w:pStyle w:val="BodyText"/>
              <w:spacing w:line="240" w:lineRule="auto"/>
              <w:ind w:firstLine="0"/>
              <w:jc w:val="both"/>
              <w:rPr>
                <w:lang w:val="en-GB" w:eastAsia="en-US"/>
              </w:rPr>
            </w:pPr>
            <w:r w:rsidRPr="00535A4C">
              <w:rPr>
                <w:sz w:val="22"/>
                <w:szCs w:val="22"/>
                <w:lang w:val="en-GB" w:eastAsia="en-US"/>
              </w:rPr>
              <w:t>SSA of LR against MSSA of LR (PPG as second series)</w:t>
            </w:r>
          </w:p>
        </w:tc>
        <w:tc>
          <w:tcPr>
            <w:tcW w:w="1681" w:type="pct"/>
            <w:tcBorders>
              <w:top w:val="nil"/>
              <w:left w:val="single" w:sz="4" w:space="0" w:color="FFFFFF"/>
              <w:bottom w:val="single" w:sz="4" w:space="0" w:color="auto"/>
              <w:right w:val="nil"/>
            </w:tcBorders>
          </w:tcPr>
          <w:p w14:paraId="761CB7F1"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1.406*</w:t>
            </w:r>
          </w:p>
        </w:tc>
        <w:tc>
          <w:tcPr>
            <w:tcW w:w="1190" w:type="pct"/>
            <w:tcBorders>
              <w:top w:val="nil"/>
              <w:left w:val="nil"/>
              <w:bottom w:val="single" w:sz="4" w:space="0" w:color="auto"/>
              <w:right w:val="nil"/>
            </w:tcBorders>
          </w:tcPr>
          <w:p w14:paraId="46C9898B" w14:textId="77777777" w:rsidR="00AB6A88" w:rsidRPr="00535A4C" w:rsidRDefault="00AB6A88" w:rsidP="00927639">
            <w:pPr>
              <w:pStyle w:val="BodyText"/>
              <w:spacing w:line="240" w:lineRule="auto"/>
              <w:ind w:firstLine="0"/>
              <w:jc w:val="center"/>
              <w:rPr>
                <w:lang w:val="en-GB" w:eastAsia="en-US"/>
              </w:rPr>
            </w:pPr>
            <w:r w:rsidRPr="00535A4C">
              <w:rPr>
                <w:sz w:val="22"/>
                <w:szCs w:val="22"/>
                <w:lang w:val="en-GB" w:eastAsia="en-US"/>
              </w:rPr>
              <w:t>0.22</w:t>
            </w:r>
          </w:p>
        </w:tc>
      </w:tr>
    </w:tbl>
    <w:p w14:paraId="0B0D019C" w14:textId="77777777" w:rsidR="00AB6A88" w:rsidRPr="00535A4C" w:rsidRDefault="00AB6A88" w:rsidP="00E8204B">
      <w:pPr>
        <w:pStyle w:val="BodyText"/>
        <w:ind w:firstLine="0"/>
        <w:jc w:val="both"/>
        <w:rPr>
          <w:sz w:val="22"/>
          <w:szCs w:val="22"/>
          <w:lang w:val="en-GB"/>
        </w:rPr>
      </w:pPr>
      <w:r w:rsidRPr="00535A4C">
        <w:rPr>
          <w:sz w:val="22"/>
          <w:szCs w:val="22"/>
          <w:lang w:val="en-GB"/>
        </w:rPr>
        <w:t>Source: Author’s calculation</w:t>
      </w:r>
      <w:r w:rsidR="00130726">
        <w:rPr>
          <w:sz w:val="22"/>
          <w:szCs w:val="22"/>
          <w:lang w:val="en-GB"/>
        </w:rPr>
        <w:t>s</w:t>
      </w:r>
    </w:p>
    <w:p w14:paraId="0D036636" w14:textId="77777777" w:rsidR="00AB6A88" w:rsidRPr="00535A4C" w:rsidRDefault="00AB6A88" w:rsidP="00E8204B">
      <w:pPr>
        <w:pStyle w:val="TableNotes"/>
        <w:jc w:val="both"/>
      </w:pPr>
      <w:r w:rsidRPr="00535A4C">
        <w:t>Notes.  Null hypothesis – forecast accuracy</w:t>
      </w:r>
      <w:r w:rsidR="00304C2E">
        <w:t xml:space="preserve"> of prediction methods is equal</w:t>
      </w:r>
    </w:p>
    <w:p w14:paraId="5674E35B" w14:textId="77777777" w:rsidR="00AB6A88" w:rsidRPr="00535A4C" w:rsidRDefault="00AB6A88" w:rsidP="00E8204B">
      <w:pPr>
        <w:pStyle w:val="TableNotes"/>
        <w:jc w:val="both"/>
      </w:pPr>
      <w:r w:rsidRPr="00535A4C">
        <w:t>MSSA forecasting method provides better forecasts</w:t>
      </w:r>
      <w:r w:rsidR="00C14633" w:rsidRPr="00535A4C">
        <w:t xml:space="preserve">, * </w:t>
      </w:r>
      <w:r w:rsidR="003E5A19" w:rsidRPr="00535A4C">
        <w:t>gives higher predictive accuracy</w:t>
      </w:r>
    </w:p>
    <w:p w14:paraId="5D430DAC" w14:textId="77777777" w:rsidR="00AB6A88" w:rsidRPr="00535A4C" w:rsidRDefault="00AB6A88" w:rsidP="00E8204B">
      <w:pPr>
        <w:pStyle w:val="BodyText"/>
        <w:jc w:val="both"/>
        <w:rPr>
          <w:lang w:val="en-GB"/>
        </w:rPr>
      </w:pPr>
    </w:p>
    <w:p w14:paraId="707063BC" w14:textId="77777777" w:rsidR="00AB6A88" w:rsidRPr="00C525E9" w:rsidRDefault="00AB6A88" w:rsidP="00130726">
      <w:pPr>
        <w:pStyle w:val="BodyText"/>
        <w:jc w:val="both"/>
        <w:rPr>
          <w:b/>
          <w:lang w:val="en-GB"/>
        </w:rPr>
      </w:pPr>
      <w:r w:rsidRPr="00C525E9">
        <w:rPr>
          <w:lang w:val="en-GB"/>
        </w:rPr>
        <w:t>T</w:t>
      </w:r>
      <w:r w:rsidR="008B6AA7" w:rsidRPr="00C525E9">
        <w:rPr>
          <w:lang w:val="en-GB"/>
        </w:rPr>
        <w:t xml:space="preserve">he test results show that the </w:t>
      </w:r>
      <w:r w:rsidRPr="00C525E9">
        <w:rPr>
          <w:lang w:val="en-GB"/>
        </w:rPr>
        <w:t>MSSA</w:t>
      </w:r>
      <w:r w:rsidR="008B6AA7" w:rsidRPr="00C525E9">
        <w:rPr>
          <w:lang w:val="en-GB"/>
        </w:rPr>
        <w:t xml:space="preserve">-based forecasts outperform the SSA-based ones </w:t>
      </w:r>
      <w:r w:rsidR="00130726" w:rsidRPr="00C525E9">
        <w:rPr>
          <w:lang w:val="en-GB"/>
        </w:rPr>
        <w:t xml:space="preserve">(lower MSE), supporting the </w:t>
      </w:r>
      <w:r w:rsidR="00D40D75" w:rsidRPr="00C525E9">
        <w:rPr>
          <w:lang w:val="en-GB"/>
        </w:rPr>
        <w:t>conclusion</w:t>
      </w:r>
      <w:r w:rsidRPr="00C525E9">
        <w:rPr>
          <w:lang w:val="en-GB"/>
        </w:rPr>
        <w:t xml:space="preserve">s from the multivariate spectral Granger causality analysis. </w:t>
      </w:r>
      <w:r w:rsidR="00304C2E" w:rsidRPr="00C525E9">
        <w:rPr>
          <w:lang w:val="en-GB"/>
        </w:rPr>
        <w:t xml:space="preserve">Table 5 presents the results that are statistically significant at </w:t>
      </w:r>
      <w:r w:rsidR="00C525E9" w:rsidRPr="00C525E9">
        <w:rPr>
          <w:lang w:val="en-GB"/>
        </w:rPr>
        <w:t xml:space="preserve">the </w:t>
      </w:r>
      <w:r w:rsidR="00304C2E" w:rsidRPr="00C525E9">
        <w:rPr>
          <w:lang w:val="en-GB"/>
        </w:rPr>
        <w:t xml:space="preserve">5% level. For long term interest rates on </w:t>
      </w:r>
      <w:proofErr w:type="spellStart"/>
      <w:r w:rsidR="00304C2E" w:rsidRPr="00C525E9">
        <w:rPr>
          <w:lang w:val="en-GB"/>
        </w:rPr>
        <w:t>consols</w:t>
      </w:r>
      <w:proofErr w:type="spellEnd"/>
      <w:r w:rsidR="00304C2E" w:rsidRPr="00C525E9">
        <w:rPr>
          <w:lang w:val="en-GB"/>
        </w:rPr>
        <w:t>, our model gives better prediction for the LR dynamics</w:t>
      </w:r>
      <w:r w:rsidR="003A525D" w:rsidRPr="00C525E9">
        <w:rPr>
          <w:lang w:val="en-GB"/>
        </w:rPr>
        <w:t xml:space="preserve"> 1 steps </w:t>
      </w:r>
      <w:r w:rsidR="003A525D" w:rsidRPr="00C525E9">
        <w:rPr>
          <w:lang w:val="en-GB"/>
        </w:rPr>
        <w:lastRenderedPageBreak/>
        <w:t>ahead (1 year</w:t>
      </w:r>
      <w:r w:rsidR="00C525E9" w:rsidRPr="00C525E9">
        <w:rPr>
          <w:lang w:val="en-GB"/>
        </w:rPr>
        <w:t>), and suggests that long-</w:t>
      </w:r>
      <w:r w:rsidR="003A525D" w:rsidRPr="00C525E9">
        <w:rPr>
          <w:lang w:val="en-GB"/>
        </w:rPr>
        <w:t xml:space="preserve">term </w:t>
      </w:r>
      <w:r w:rsidR="00C525E9" w:rsidRPr="00C525E9">
        <w:rPr>
          <w:lang w:val="en-GB"/>
        </w:rPr>
        <w:t xml:space="preserve">interest rate dynamics are </w:t>
      </w:r>
      <w:r w:rsidR="00304C2E" w:rsidRPr="00C525E9">
        <w:rPr>
          <w:lang w:val="en-GB"/>
        </w:rPr>
        <w:t xml:space="preserve">highly influenced by other macroeconomic variables. </w:t>
      </w:r>
    </w:p>
    <w:p w14:paraId="22AF24DA" w14:textId="77777777" w:rsidR="00AB6A88" w:rsidRPr="00535A4C" w:rsidRDefault="00AB6A88" w:rsidP="00E8204B">
      <w:pPr>
        <w:pStyle w:val="Heading1"/>
        <w:jc w:val="both"/>
      </w:pPr>
    </w:p>
    <w:p w14:paraId="342574EC" w14:textId="77777777" w:rsidR="00AB6A88" w:rsidRPr="00535A4C" w:rsidRDefault="00130726" w:rsidP="00E8204B">
      <w:pPr>
        <w:pStyle w:val="Heading1"/>
        <w:jc w:val="both"/>
      </w:pPr>
      <w:r>
        <w:t>4</w:t>
      </w:r>
      <w:r w:rsidR="00F327AD">
        <w:t xml:space="preserve">. </w:t>
      </w:r>
      <w:r w:rsidR="00F327AD" w:rsidRPr="00535A4C">
        <w:t>CONCLUSI</w:t>
      </w:r>
      <w:r>
        <w:t>ONS</w:t>
      </w:r>
    </w:p>
    <w:p w14:paraId="1C033E47" w14:textId="77777777" w:rsidR="00130726" w:rsidRPr="00535A4C" w:rsidRDefault="00AB6A88" w:rsidP="001B3046">
      <w:pPr>
        <w:pStyle w:val="BodyText"/>
        <w:ind w:firstLine="0"/>
        <w:jc w:val="both"/>
        <w:rPr>
          <w:lang w:val="en-GB"/>
        </w:rPr>
      </w:pPr>
      <w:r w:rsidRPr="00535A4C">
        <w:rPr>
          <w:lang w:val="en-GB"/>
        </w:rPr>
        <w:t>This paper investigates Gibson</w:t>
      </w:r>
      <w:r w:rsidR="00130726">
        <w:rPr>
          <w:lang w:val="en-GB"/>
        </w:rPr>
        <w:t>’s paradox</w:t>
      </w:r>
      <w:r w:rsidRPr="00535A4C">
        <w:rPr>
          <w:lang w:val="en-GB"/>
        </w:rPr>
        <w:t xml:space="preserve"> </w:t>
      </w:r>
      <w:r w:rsidR="00130726">
        <w:rPr>
          <w:lang w:val="en-GB"/>
        </w:rPr>
        <w:t>in t</w:t>
      </w:r>
      <w:r w:rsidRPr="00535A4C">
        <w:rPr>
          <w:lang w:val="en-GB"/>
        </w:rPr>
        <w:t xml:space="preserve">he Netherlands over </w:t>
      </w:r>
      <w:r w:rsidR="00130726">
        <w:rPr>
          <w:lang w:val="en-GB"/>
        </w:rPr>
        <w:t xml:space="preserve">the period 1800-2012 using </w:t>
      </w:r>
      <w:r w:rsidR="00D40D75">
        <w:rPr>
          <w:lang w:val="en-GB"/>
        </w:rPr>
        <w:t xml:space="preserve">nonlinear </w:t>
      </w:r>
      <w:r w:rsidR="00130726">
        <w:rPr>
          <w:lang w:val="en-GB"/>
        </w:rPr>
        <w:t>spectral methods (namely, SSA and MSSA) and</w:t>
      </w:r>
      <w:r w:rsidR="00A1203E">
        <w:rPr>
          <w:lang w:val="en-GB"/>
        </w:rPr>
        <w:t xml:space="preserve"> a</w:t>
      </w:r>
      <w:r w:rsidR="00130726">
        <w:rPr>
          <w:lang w:val="en-GB"/>
        </w:rPr>
        <w:t xml:space="preserve"> </w:t>
      </w:r>
      <w:r w:rsidRPr="00535A4C">
        <w:rPr>
          <w:lang w:val="en-GB"/>
        </w:rPr>
        <w:t xml:space="preserve">large set </w:t>
      </w:r>
      <w:r w:rsidR="00130726">
        <w:rPr>
          <w:lang w:val="en-GB"/>
        </w:rPr>
        <w:t xml:space="preserve">of potential explanatory variables, unlike previous studies considering at most two. </w:t>
      </w:r>
      <w:r w:rsidRPr="00535A4C">
        <w:rPr>
          <w:lang w:val="en-GB"/>
        </w:rPr>
        <w:t xml:space="preserve"> </w:t>
      </w:r>
      <w:r w:rsidR="00130726" w:rsidRPr="00130726">
        <w:rPr>
          <w:lang w:val="en-GB"/>
        </w:rPr>
        <w:t>The fifteen variables included in the selected model explain 35% of the total variance in bond yields over the period</w:t>
      </w:r>
      <w:r w:rsidR="00130726">
        <w:rPr>
          <w:lang w:val="en-GB"/>
        </w:rPr>
        <w:t xml:space="preserve"> examined, providing </w:t>
      </w:r>
      <w:r w:rsidR="00D40D75">
        <w:rPr>
          <w:lang w:val="en-GB"/>
        </w:rPr>
        <w:t xml:space="preserve">strong evidence of the </w:t>
      </w:r>
      <w:r w:rsidR="00130726">
        <w:rPr>
          <w:lang w:val="en-GB"/>
        </w:rPr>
        <w:t>existence</w:t>
      </w:r>
      <w:r w:rsidR="00A1203E">
        <w:rPr>
          <w:lang w:val="en-GB"/>
        </w:rPr>
        <w:t xml:space="preserve"> </w:t>
      </w:r>
      <w:r w:rsidR="00D40D75">
        <w:rPr>
          <w:lang w:val="en-GB"/>
        </w:rPr>
        <w:t xml:space="preserve">of the paradox </w:t>
      </w:r>
      <w:r w:rsidR="00A1203E">
        <w:rPr>
          <w:lang w:val="en-GB"/>
        </w:rPr>
        <w:t>in the Netherlands</w:t>
      </w:r>
      <w:r w:rsidR="00130726">
        <w:rPr>
          <w:lang w:val="en-GB"/>
        </w:rPr>
        <w:t xml:space="preserve">, as already documented by </w:t>
      </w:r>
      <w:r w:rsidR="00130726" w:rsidRPr="00130726">
        <w:rPr>
          <w:lang w:val="en-GB"/>
        </w:rPr>
        <w:t xml:space="preserve">Fields </w:t>
      </w:r>
      <w:r w:rsidR="006D6503">
        <w:rPr>
          <w:lang w:val="en-GB"/>
        </w:rPr>
        <w:t>(</w:t>
      </w:r>
      <w:r w:rsidR="00130726" w:rsidRPr="00130726">
        <w:rPr>
          <w:lang w:val="en-GB"/>
        </w:rPr>
        <w:t xml:space="preserve">1984), </w:t>
      </w:r>
      <w:proofErr w:type="spellStart"/>
      <w:r w:rsidR="00130726" w:rsidRPr="00130726">
        <w:rPr>
          <w:lang w:val="en-GB"/>
        </w:rPr>
        <w:t>Fase</w:t>
      </w:r>
      <w:proofErr w:type="spellEnd"/>
      <w:r w:rsidR="00130726" w:rsidRPr="00130726">
        <w:rPr>
          <w:lang w:val="en-GB"/>
        </w:rPr>
        <w:t xml:space="preserve"> </w:t>
      </w:r>
      <w:r w:rsidR="006D6503">
        <w:rPr>
          <w:lang w:val="en-GB"/>
        </w:rPr>
        <w:t>(</w:t>
      </w:r>
      <w:r w:rsidR="00130726" w:rsidRPr="00130726">
        <w:rPr>
          <w:lang w:val="en-GB"/>
        </w:rPr>
        <w:t xml:space="preserve">1972) </w:t>
      </w:r>
      <w:r w:rsidR="00130726">
        <w:rPr>
          <w:lang w:val="en-GB"/>
        </w:rPr>
        <w:t xml:space="preserve">(whilst the opposite conclusion was reached by </w:t>
      </w:r>
      <w:r w:rsidR="00130726" w:rsidRPr="00130726">
        <w:rPr>
          <w:lang w:val="en-GB"/>
        </w:rPr>
        <w:t xml:space="preserve">Ram </w:t>
      </w:r>
      <w:r w:rsidR="006D6503">
        <w:rPr>
          <w:lang w:val="en-GB"/>
        </w:rPr>
        <w:t>(</w:t>
      </w:r>
      <w:r w:rsidR="00130726" w:rsidRPr="00130726">
        <w:rPr>
          <w:lang w:val="en-GB"/>
        </w:rPr>
        <w:t>1987)</w:t>
      </w:r>
      <w:r w:rsidR="00E64D32">
        <w:rPr>
          <w:lang w:val="en-GB"/>
        </w:rPr>
        <w:t xml:space="preserve">. </w:t>
      </w:r>
      <w:r w:rsidR="00130726" w:rsidRPr="00130726">
        <w:rPr>
          <w:lang w:val="en-GB"/>
        </w:rPr>
        <w:t xml:space="preserve"> </w:t>
      </w:r>
      <w:r w:rsidR="00A1203E">
        <w:rPr>
          <w:lang w:val="en-GB"/>
        </w:rPr>
        <w:t xml:space="preserve">An even higher percentage of the variance could have been explained if variables such as the DNB gold reserves could have been included, but unfortunately the relevant data are only available from 1875. </w:t>
      </w:r>
      <w:r w:rsidR="00E64D32">
        <w:rPr>
          <w:lang w:val="en-GB"/>
        </w:rPr>
        <w:t>Although p</w:t>
      </w:r>
      <w:r w:rsidR="00130726" w:rsidRPr="00130726">
        <w:rPr>
          <w:lang w:val="en-GB"/>
        </w:rPr>
        <w:t xml:space="preserve">olicy regime </w:t>
      </w:r>
      <w:r w:rsidR="00E64D32">
        <w:rPr>
          <w:lang w:val="en-GB"/>
        </w:rPr>
        <w:t xml:space="preserve">changes (such as the adoption of the </w:t>
      </w:r>
      <w:r w:rsidR="00130726" w:rsidRPr="00130726">
        <w:rPr>
          <w:lang w:val="en-GB"/>
        </w:rPr>
        <w:t xml:space="preserve">classical gold standard or </w:t>
      </w:r>
      <w:r w:rsidR="00E64D32">
        <w:rPr>
          <w:lang w:val="en-GB"/>
        </w:rPr>
        <w:t xml:space="preserve">the loss of </w:t>
      </w:r>
      <w:r w:rsidR="00130726" w:rsidRPr="00130726">
        <w:rPr>
          <w:lang w:val="en-GB"/>
        </w:rPr>
        <w:t xml:space="preserve">central bank </w:t>
      </w:r>
      <w:r w:rsidR="00E64D32">
        <w:rPr>
          <w:lang w:val="en-GB"/>
        </w:rPr>
        <w:t>independence when the Netherlands joined</w:t>
      </w:r>
      <w:r w:rsidR="00130726" w:rsidRPr="00130726">
        <w:rPr>
          <w:lang w:val="en-GB"/>
        </w:rPr>
        <w:t xml:space="preserve"> EMU) </w:t>
      </w:r>
      <w:r w:rsidR="00E64D32">
        <w:rPr>
          <w:lang w:val="en-GB"/>
        </w:rPr>
        <w:t>appear to affect the relationship</w:t>
      </w:r>
      <w:r w:rsidR="006D6503">
        <w:rPr>
          <w:lang w:val="en-GB"/>
        </w:rPr>
        <w:t>,</w:t>
      </w:r>
      <w:r w:rsidR="00E64D32">
        <w:rPr>
          <w:lang w:val="en-GB"/>
        </w:rPr>
        <w:t xml:space="preserve"> as </w:t>
      </w:r>
      <w:r w:rsidR="00A1203E">
        <w:rPr>
          <w:lang w:val="en-GB"/>
        </w:rPr>
        <w:t xml:space="preserve">also </w:t>
      </w:r>
      <w:r w:rsidR="00E64D32">
        <w:rPr>
          <w:lang w:val="en-GB"/>
        </w:rPr>
        <w:t xml:space="preserve">argued by </w:t>
      </w:r>
      <w:proofErr w:type="spellStart"/>
      <w:r w:rsidR="00E64D32">
        <w:rPr>
          <w:lang w:val="en-GB"/>
        </w:rPr>
        <w:t>Cogley</w:t>
      </w:r>
      <w:proofErr w:type="spellEnd"/>
      <w:r w:rsidR="00E64D32">
        <w:rPr>
          <w:lang w:val="en-GB"/>
        </w:rPr>
        <w:t xml:space="preserve"> et al. </w:t>
      </w:r>
      <w:r w:rsidR="006D6503">
        <w:rPr>
          <w:lang w:val="en-GB"/>
        </w:rPr>
        <w:t>(</w:t>
      </w:r>
      <w:r w:rsidR="00E64D32">
        <w:rPr>
          <w:lang w:val="en-GB"/>
        </w:rPr>
        <w:t>2011</w:t>
      </w:r>
      <w:r w:rsidR="006D6503">
        <w:rPr>
          <w:lang w:val="en-GB"/>
        </w:rPr>
        <w:t>)</w:t>
      </w:r>
      <w:r w:rsidR="00E64D32">
        <w:rPr>
          <w:lang w:val="en-GB"/>
        </w:rPr>
        <w:t xml:space="preserve"> in the case of the US),</w:t>
      </w:r>
      <w:r w:rsidR="00A1203E">
        <w:rPr>
          <w:lang w:val="en-GB"/>
        </w:rPr>
        <w:t xml:space="preserve"> they cannot account for it </w:t>
      </w:r>
      <w:r w:rsidR="00A1203E" w:rsidRPr="00A1203E">
        <w:rPr>
          <w:lang w:val="en-GB"/>
        </w:rPr>
        <w:t xml:space="preserve">since it </w:t>
      </w:r>
      <w:r w:rsidR="00D40D75">
        <w:rPr>
          <w:lang w:val="en-GB"/>
        </w:rPr>
        <w:t xml:space="preserve">appears to be present </w:t>
      </w:r>
      <w:r w:rsidR="00A1203E" w:rsidRPr="00A1203E">
        <w:rPr>
          <w:lang w:val="en-GB"/>
        </w:rPr>
        <w:t>under all the various regimes</w:t>
      </w:r>
    </w:p>
    <w:p w14:paraId="4378FAA4" w14:textId="77777777" w:rsidR="00AB6A88" w:rsidRPr="00535A4C" w:rsidRDefault="00A1203E" w:rsidP="00A1203E">
      <w:pPr>
        <w:pStyle w:val="BodyText"/>
        <w:jc w:val="both"/>
        <w:rPr>
          <w:lang w:val="en-GB"/>
        </w:rPr>
      </w:pPr>
      <w:r>
        <w:rPr>
          <w:lang w:val="en-GB"/>
        </w:rPr>
        <w:t xml:space="preserve">The empirical results indicate </w:t>
      </w:r>
      <w:r w:rsidR="00AB6A88" w:rsidRPr="00535A4C">
        <w:rPr>
          <w:lang w:val="en-GB"/>
        </w:rPr>
        <w:t xml:space="preserve">the </w:t>
      </w:r>
      <w:r>
        <w:rPr>
          <w:lang w:val="en-GB"/>
        </w:rPr>
        <w:t xml:space="preserve">existence of </w:t>
      </w:r>
      <w:r w:rsidR="00AB6A88" w:rsidRPr="00535A4C">
        <w:rPr>
          <w:lang w:val="en-GB"/>
        </w:rPr>
        <w:t xml:space="preserve">a 5-5.5 year oscillatory </w:t>
      </w:r>
      <w:r w:rsidR="00927639" w:rsidRPr="00535A4C">
        <w:rPr>
          <w:lang w:val="en-GB"/>
        </w:rPr>
        <w:t>pattern</w:t>
      </w:r>
      <w:r>
        <w:rPr>
          <w:lang w:val="en-GB"/>
        </w:rPr>
        <w:t xml:space="preserve"> in long-term bond yields in t</w:t>
      </w:r>
      <w:r w:rsidR="00AB6A88" w:rsidRPr="00535A4C">
        <w:rPr>
          <w:lang w:val="en-GB"/>
        </w:rPr>
        <w:t xml:space="preserve">he Netherlands. </w:t>
      </w:r>
      <w:r>
        <w:rPr>
          <w:lang w:val="en-GB"/>
        </w:rPr>
        <w:t>They also suggest that Gibso</w:t>
      </w:r>
      <w:r w:rsidR="006D6503">
        <w:rPr>
          <w:lang w:val="en-GB"/>
        </w:rPr>
        <w:t>n</w:t>
      </w:r>
      <w:r>
        <w:rPr>
          <w:lang w:val="en-GB"/>
        </w:rPr>
        <w:t xml:space="preserve">’s paradox is a very complex </w:t>
      </w:r>
      <w:proofErr w:type="gramStart"/>
      <w:r>
        <w:rPr>
          <w:lang w:val="en-GB"/>
        </w:rPr>
        <w:t>phenomena</w:t>
      </w:r>
      <w:proofErr w:type="gramEnd"/>
      <w:r>
        <w:rPr>
          <w:lang w:val="en-GB"/>
        </w:rPr>
        <w:t xml:space="preserve">, that cannot easily be explained by </w:t>
      </w:r>
      <w:r w:rsidR="00AB6A88" w:rsidRPr="00535A4C">
        <w:rPr>
          <w:lang w:val="en-GB"/>
        </w:rPr>
        <w:t xml:space="preserve">exogenous shocks (Keynes’ effect, Fishers’ effect, Summers’ effect, </w:t>
      </w:r>
      <w:proofErr w:type="spellStart"/>
      <w:r w:rsidR="00AB6A88" w:rsidRPr="00535A4C">
        <w:rPr>
          <w:lang w:val="en-GB"/>
        </w:rPr>
        <w:t>Wicksell’</w:t>
      </w:r>
      <w:r>
        <w:rPr>
          <w:lang w:val="en-GB"/>
        </w:rPr>
        <w:t>s</w:t>
      </w:r>
      <w:proofErr w:type="spellEnd"/>
      <w:r w:rsidR="00AB6A88" w:rsidRPr="00535A4C">
        <w:rPr>
          <w:lang w:val="en-GB"/>
        </w:rPr>
        <w:t xml:space="preserve"> effect)</w:t>
      </w:r>
      <w:r w:rsidR="00C14633" w:rsidRPr="00535A4C">
        <w:rPr>
          <w:lang w:val="en-GB"/>
        </w:rPr>
        <w:t xml:space="preserve"> </w:t>
      </w:r>
      <w:r>
        <w:rPr>
          <w:lang w:val="en-GB"/>
        </w:rPr>
        <w:t xml:space="preserve">or </w:t>
      </w:r>
      <w:r w:rsidR="0062186C">
        <w:rPr>
          <w:lang w:val="en-GB"/>
        </w:rPr>
        <w:t xml:space="preserve">standard </w:t>
      </w:r>
      <w:r w:rsidR="00AB6A88" w:rsidRPr="00535A4C">
        <w:rPr>
          <w:lang w:val="en-GB"/>
        </w:rPr>
        <w:t>liquidity preference, loanable funds and rational expectation</w:t>
      </w:r>
      <w:r w:rsidR="0062186C">
        <w:rPr>
          <w:lang w:val="en-GB"/>
        </w:rPr>
        <w:t xml:space="preserve">s models. </w:t>
      </w:r>
      <w:r w:rsidR="00AB6A88" w:rsidRPr="00535A4C">
        <w:rPr>
          <w:lang w:val="en-GB"/>
        </w:rPr>
        <w:t xml:space="preserve"> </w:t>
      </w:r>
      <w:r w:rsidR="0062186C">
        <w:rPr>
          <w:lang w:val="en-GB"/>
        </w:rPr>
        <w:t xml:space="preserve">Nonlinearities are clearly an important feature of this relationship which should be modelled explicitly to understand its dynamic properties. </w:t>
      </w:r>
    </w:p>
    <w:p w14:paraId="13343F0C" w14:textId="77777777" w:rsidR="00AB6A88" w:rsidRPr="0062186C" w:rsidRDefault="00AB6A88" w:rsidP="00E8204B">
      <w:pPr>
        <w:pStyle w:val="Reference"/>
        <w:jc w:val="both"/>
        <w:rPr>
          <w:b/>
        </w:rPr>
      </w:pPr>
      <w:r w:rsidRPr="0062186C">
        <w:rPr>
          <w:b/>
        </w:rPr>
        <w:lastRenderedPageBreak/>
        <w:t>References</w:t>
      </w:r>
    </w:p>
    <w:p w14:paraId="56635E30" w14:textId="77777777" w:rsidR="00C57097" w:rsidRPr="00535A4C" w:rsidRDefault="00AB6A88"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fldChar w:fldCharType="begin"/>
      </w:r>
      <w:r w:rsidRPr="00535A4C">
        <w:instrText xml:space="preserve"> ADDIN PAPERS2_CITATIONS &lt;papers2_bibliography/&gt;</w:instrText>
      </w:r>
      <w:r w:rsidRPr="00535A4C">
        <w:fldChar w:fldCharType="separate"/>
      </w:r>
      <w:r w:rsidR="00321109" w:rsidRPr="00535A4C">
        <w:rPr>
          <w:lang w:eastAsia="hr-HR"/>
        </w:rPr>
        <w:t>Allen, M. R., and Smith, L. A. (1996),</w:t>
      </w:r>
      <w:r w:rsidR="00C57097" w:rsidRPr="00535A4C">
        <w:rPr>
          <w:lang w:eastAsia="hr-HR"/>
        </w:rPr>
        <w:t xml:space="preserve"> </w:t>
      </w:r>
      <w:r w:rsidR="00321109" w:rsidRPr="00535A4C">
        <w:rPr>
          <w:lang w:eastAsia="hr-HR"/>
        </w:rPr>
        <w:t>'</w:t>
      </w:r>
      <w:r w:rsidR="0049563B" w:rsidRPr="00535A4C">
        <w:rPr>
          <w:lang w:eastAsia="hr-HR"/>
        </w:rPr>
        <w:t>Monte Carlo SSA: Detecting Irregular O</w:t>
      </w:r>
      <w:r w:rsidR="00C57097" w:rsidRPr="00535A4C">
        <w:rPr>
          <w:lang w:eastAsia="hr-HR"/>
        </w:rPr>
        <w:t>scillations in the Presence of Colored Noise</w:t>
      </w:r>
      <w:r w:rsidR="000C7A13" w:rsidRPr="00535A4C">
        <w:rPr>
          <w:lang w:eastAsia="hr-HR"/>
        </w:rPr>
        <w:t>',</w:t>
      </w:r>
      <w:r w:rsidR="00C57097" w:rsidRPr="00535A4C">
        <w:rPr>
          <w:lang w:eastAsia="hr-HR"/>
        </w:rPr>
        <w:t xml:space="preserve"> </w:t>
      </w:r>
      <w:r w:rsidR="00C57097" w:rsidRPr="00535A4C">
        <w:rPr>
          <w:iCs/>
          <w:lang w:eastAsia="hr-HR"/>
        </w:rPr>
        <w:t>Journal of Climate</w:t>
      </w:r>
      <w:r w:rsidR="00C57097" w:rsidRPr="00535A4C">
        <w:rPr>
          <w:lang w:eastAsia="hr-HR"/>
        </w:rPr>
        <w:t xml:space="preserve">, </w:t>
      </w:r>
      <w:r w:rsidR="00C57097" w:rsidRPr="00535A4C">
        <w:rPr>
          <w:i/>
          <w:iCs/>
          <w:lang w:eastAsia="hr-HR"/>
        </w:rPr>
        <w:t>9</w:t>
      </w:r>
      <w:r w:rsidR="00C57097" w:rsidRPr="00535A4C">
        <w:rPr>
          <w:lang w:eastAsia="hr-HR"/>
        </w:rPr>
        <w:t>(1), 3373–3404. doi:10.1175/1520-0442(1996)009&lt;3373:MCSDIO&gt;2.0.CO;2</w:t>
      </w:r>
    </w:p>
    <w:p w14:paraId="3D21456F" w14:textId="77777777" w:rsidR="00C57097" w:rsidRPr="00535A4C" w:rsidRDefault="000C7A13"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 xml:space="preserve">Barro, R. J., and </w:t>
      </w:r>
      <w:r w:rsidR="00966BE7" w:rsidRPr="00535A4C">
        <w:rPr>
          <w:lang w:eastAsia="hr-HR"/>
        </w:rPr>
        <w:t xml:space="preserve"> </w:t>
      </w:r>
      <w:r w:rsidR="00C57097" w:rsidRPr="00535A4C">
        <w:rPr>
          <w:lang w:eastAsia="hr-HR"/>
        </w:rPr>
        <w:t>Ur</w:t>
      </w:r>
      <w:r w:rsidRPr="00535A4C">
        <w:rPr>
          <w:lang w:eastAsia="hr-HR"/>
        </w:rPr>
        <w:t>súa, J. F. (2008),</w:t>
      </w:r>
      <w:r w:rsidR="0049563B" w:rsidRPr="00535A4C">
        <w:rPr>
          <w:lang w:eastAsia="hr-HR"/>
        </w:rPr>
        <w:t xml:space="preserve"> Macroeconomic Crises S</w:t>
      </w:r>
      <w:r w:rsidR="00C57097" w:rsidRPr="00535A4C">
        <w:rPr>
          <w:lang w:eastAsia="hr-HR"/>
        </w:rPr>
        <w:t xml:space="preserve">ince 1870. </w:t>
      </w:r>
      <w:r w:rsidR="00C57097" w:rsidRPr="00535A4C">
        <w:rPr>
          <w:iCs/>
          <w:lang w:eastAsia="hr-HR"/>
        </w:rPr>
        <w:t>NBER Working Papers</w:t>
      </w:r>
      <w:r w:rsidR="00C57097" w:rsidRPr="00535A4C">
        <w:rPr>
          <w:lang w:eastAsia="hr-HR"/>
        </w:rPr>
        <w:t>, (13940).</w:t>
      </w:r>
    </w:p>
    <w:p w14:paraId="40717FAD" w14:textId="77777777" w:rsidR="00C57097" w:rsidRPr="00535A4C" w:rsidRDefault="000C7A13"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Barsky, R. B. (1987),</w:t>
      </w:r>
      <w:r w:rsidR="00C57097" w:rsidRPr="00535A4C">
        <w:rPr>
          <w:lang w:eastAsia="hr-HR"/>
        </w:rPr>
        <w:t xml:space="preserve"> </w:t>
      </w:r>
      <w:r w:rsidRPr="00535A4C">
        <w:rPr>
          <w:lang w:eastAsia="hr-HR"/>
        </w:rPr>
        <w:t>'</w:t>
      </w:r>
      <w:r w:rsidR="0049563B" w:rsidRPr="00535A4C">
        <w:rPr>
          <w:lang w:eastAsia="hr-HR"/>
        </w:rPr>
        <w:t>The Fisher Hypothesis and the Forecastability and Persistence of I</w:t>
      </w:r>
      <w:r w:rsidR="00C57097" w:rsidRPr="00535A4C">
        <w:rPr>
          <w:lang w:eastAsia="hr-HR"/>
        </w:rPr>
        <w:t>nflation</w:t>
      </w:r>
      <w:r w:rsidRPr="00535A4C">
        <w:rPr>
          <w:lang w:eastAsia="hr-HR"/>
        </w:rPr>
        <w:t>',</w:t>
      </w:r>
      <w:r w:rsidR="00C57097" w:rsidRPr="00535A4C">
        <w:rPr>
          <w:lang w:eastAsia="hr-HR"/>
        </w:rPr>
        <w:t xml:space="preserve"> </w:t>
      </w:r>
      <w:r w:rsidR="00C57097" w:rsidRPr="00535A4C">
        <w:rPr>
          <w:iCs/>
          <w:lang w:eastAsia="hr-HR"/>
        </w:rPr>
        <w:t>Journal of Monetary Economics</w:t>
      </w:r>
      <w:r w:rsidR="00C57097" w:rsidRPr="00535A4C">
        <w:rPr>
          <w:lang w:eastAsia="hr-HR"/>
        </w:rPr>
        <w:t xml:space="preserve">, </w:t>
      </w:r>
      <w:r w:rsidR="00C57097" w:rsidRPr="00535A4C">
        <w:rPr>
          <w:i/>
          <w:iCs/>
          <w:lang w:eastAsia="hr-HR"/>
        </w:rPr>
        <w:t>19</w:t>
      </w:r>
      <w:r w:rsidR="00C57097" w:rsidRPr="00535A4C">
        <w:rPr>
          <w:lang w:eastAsia="hr-HR"/>
        </w:rPr>
        <w:t>(1), 3–24.</w:t>
      </w:r>
    </w:p>
    <w:p w14:paraId="5D3BED35" w14:textId="77777777" w:rsidR="00C57097" w:rsidRPr="00535A4C" w:rsidRDefault="000C7A13"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Barsky, R. B., and Summers, L. H. (1988),</w:t>
      </w:r>
      <w:r w:rsidR="00C57097" w:rsidRPr="00535A4C">
        <w:rPr>
          <w:lang w:eastAsia="hr-HR"/>
        </w:rPr>
        <w:t xml:space="preserve"> </w:t>
      </w:r>
      <w:r w:rsidRPr="00535A4C">
        <w:rPr>
          <w:lang w:eastAsia="hr-HR"/>
        </w:rPr>
        <w:t>'</w:t>
      </w:r>
      <w:r w:rsidR="0049563B" w:rsidRPr="00535A4C">
        <w:rPr>
          <w:lang w:eastAsia="hr-HR"/>
        </w:rPr>
        <w:t>Gibson's Paradox and the Gold S</w:t>
      </w:r>
      <w:r w:rsidR="00C57097" w:rsidRPr="00535A4C">
        <w:rPr>
          <w:lang w:eastAsia="hr-HR"/>
        </w:rPr>
        <w:t>tandard</w:t>
      </w:r>
      <w:r w:rsidRPr="00535A4C">
        <w:rPr>
          <w:lang w:eastAsia="hr-HR"/>
        </w:rPr>
        <w:t>',</w:t>
      </w:r>
      <w:r w:rsidR="00C57097" w:rsidRPr="00535A4C">
        <w:rPr>
          <w:lang w:eastAsia="hr-HR"/>
        </w:rPr>
        <w:t xml:space="preserve"> </w:t>
      </w:r>
      <w:r w:rsidR="00C57097" w:rsidRPr="00535A4C">
        <w:rPr>
          <w:iCs/>
          <w:lang w:eastAsia="hr-HR"/>
        </w:rPr>
        <w:t>The Journal of Political Economy</w:t>
      </w:r>
      <w:r w:rsidR="00C57097" w:rsidRPr="00535A4C">
        <w:rPr>
          <w:lang w:eastAsia="hr-HR"/>
        </w:rPr>
        <w:t>, 528–550.</w:t>
      </w:r>
    </w:p>
    <w:p w14:paraId="5F07F088" w14:textId="77777777" w:rsidR="00C57097" w:rsidRPr="00535A4C" w:rsidRDefault="000C7A13"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Bos, F. (2008),</w:t>
      </w:r>
      <w:r w:rsidR="00C57097" w:rsidRPr="00535A4C">
        <w:rPr>
          <w:lang w:eastAsia="hr-HR"/>
        </w:rPr>
        <w:t xml:space="preserve"> </w:t>
      </w:r>
      <w:r w:rsidRPr="00535A4C">
        <w:rPr>
          <w:lang w:eastAsia="hr-HR"/>
        </w:rPr>
        <w:t>'</w:t>
      </w:r>
      <w:r w:rsidR="0049563B" w:rsidRPr="00535A4C">
        <w:rPr>
          <w:lang w:eastAsia="hr-HR"/>
        </w:rPr>
        <w:t>The Dutch Fiscal Framework: History, Current Practice and the Role of the Central Planning B</w:t>
      </w:r>
      <w:r w:rsidR="00C57097" w:rsidRPr="00535A4C">
        <w:rPr>
          <w:lang w:eastAsia="hr-HR"/>
        </w:rPr>
        <w:t>ureau</w:t>
      </w:r>
      <w:r w:rsidRPr="00535A4C">
        <w:rPr>
          <w:lang w:eastAsia="hr-HR"/>
        </w:rPr>
        <w:t>',</w:t>
      </w:r>
      <w:r w:rsidR="00C57097" w:rsidRPr="00535A4C">
        <w:rPr>
          <w:lang w:eastAsia="hr-HR"/>
        </w:rPr>
        <w:t xml:space="preserve"> </w:t>
      </w:r>
      <w:r w:rsidR="00C57097" w:rsidRPr="00535A4C">
        <w:rPr>
          <w:iCs/>
          <w:lang w:eastAsia="hr-HR"/>
        </w:rPr>
        <w:t>OECD Journal on budgeting</w:t>
      </w:r>
      <w:r w:rsidR="00C57097" w:rsidRPr="00535A4C">
        <w:rPr>
          <w:lang w:eastAsia="hr-HR"/>
        </w:rPr>
        <w:t xml:space="preserve">, </w:t>
      </w:r>
      <w:r w:rsidR="00C57097" w:rsidRPr="00535A4C">
        <w:rPr>
          <w:iCs/>
          <w:lang w:eastAsia="hr-HR"/>
        </w:rPr>
        <w:t>8</w:t>
      </w:r>
      <w:r w:rsidR="00C57097" w:rsidRPr="00535A4C">
        <w:rPr>
          <w:lang w:eastAsia="hr-HR"/>
        </w:rPr>
        <w:t>(1), 7–48.</w:t>
      </w:r>
    </w:p>
    <w:p w14:paraId="4EA368EC" w14:textId="77777777" w:rsidR="00C57097" w:rsidRPr="00535A4C" w:rsidRDefault="00C57097"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Broock, W. A., Scheinkman, J. A., Deche</w:t>
      </w:r>
      <w:r w:rsidR="000C7A13" w:rsidRPr="00535A4C">
        <w:rPr>
          <w:lang w:eastAsia="hr-HR"/>
        </w:rPr>
        <w:t>rt, W. D., &amp; LeBaron, B. (1996),</w:t>
      </w:r>
      <w:r w:rsidRPr="00535A4C">
        <w:rPr>
          <w:lang w:eastAsia="hr-HR"/>
        </w:rPr>
        <w:t xml:space="preserve"> </w:t>
      </w:r>
      <w:r w:rsidR="000C7A13" w:rsidRPr="00535A4C">
        <w:rPr>
          <w:lang w:eastAsia="hr-HR"/>
        </w:rPr>
        <w:t>'</w:t>
      </w:r>
      <w:r w:rsidR="0049563B" w:rsidRPr="00535A4C">
        <w:rPr>
          <w:lang w:eastAsia="hr-HR"/>
        </w:rPr>
        <w:t>A Test for Independence Based on the Correlation D</w:t>
      </w:r>
      <w:r w:rsidRPr="00535A4C">
        <w:rPr>
          <w:lang w:eastAsia="hr-HR"/>
        </w:rPr>
        <w:t>imension</w:t>
      </w:r>
      <w:r w:rsidR="000C7A13" w:rsidRPr="00535A4C">
        <w:rPr>
          <w:lang w:eastAsia="hr-HR"/>
        </w:rPr>
        <w:t>',</w:t>
      </w:r>
      <w:r w:rsidRPr="00535A4C">
        <w:rPr>
          <w:lang w:eastAsia="hr-HR"/>
        </w:rPr>
        <w:t xml:space="preserve"> </w:t>
      </w:r>
      <w:r w:rsidRPr="00535A4C">
        <w:rPr>
          <w:iCs/>
          <w:lang w:eastAsia="hr-HR"/>
        </w:rPr>
        <w:t>Econometric Reviews</w:t>
      </w:r>
      <w:r w:rsidRPr="00535A4C">
        <w:rPr>
          <w:lang w:eastAsia="hr-HR"/>
        </w:rPr>
        <w:t xml:space="preserve">, </w:t>
      </w:r>
      <w:r w:rsidRPr="00535A4C">
        <w:rPr>
          <w:iCs/>
          <w:lang w:eastAsia="hr-HR"/>
        </w:rPr>
        <w:t>15</w:t>
      </w:r>
      <w:r w:rsidRPr="00535A4C">
        <w:rPr>
          <w:lang w:eastAsia="hr-HR"/>
        </w:rPr>
        <w:t>(3), 197–235.</w:t>
      </w:r>
    </w:p>
    <w:p w14:paraId="6DFD0591" w14:textId="77777777" w:rsidR="00C57097" w:rsidRPr="00535A4C" w:rsidRDefault="00C57097"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C</w:t>
      </w:r>
      <w:r w:rsidR="0049563B" w:rsidRPr="00535A4C">
        <w:rPr>
          <w:lang w:eastAsia="hr-HR"/>
        </w:rPr>
        <w:t>aselli, F., and</w:t>
      </w:r>
      <w:r w:rsidR="000C7A13" w:rsidRPr="00535A4C">
        <w:rPr>
          <w:lang w:eastAsia="hr-HR"/>
        </w:rPr>
        <w:t xml:space="preserve"> Feyrer, J. (2007),</w:t>
      </w:r>
      <w:r w:rsidRPr="00535A4C">
        <w:rPr>
          <w:lang w:eastAsia="hr-HR"/>
        </w:rPr>
        <w:t xml:space="preserve"> </w:t>
      </w:r>
      <w:r w:rsidR="000C7A13" w:rsidRPr="00535A4C">
        <w:rPr>
          <w:lang w:eastAsia="hr-HR"/>
        </w:rPr>
        <w:t>'</w:t>
      </w:r>
      <w:r w:rsidR="0049563B" w:rsidRPr="00535A4C">
        <w:rPr>
          <w:lang w:eastAsia="hr-HR"/>
        </w:rPr>
        <w:t>The Marginal Product of C</w:t>
      </w:r>
      <w:r w:rsidRPr="00535A4C">
        <w:rPr>
          <w:lang w:eastAsia="hr-HR"/>
        </w:rPr>
        <w:t>apital</w:t>
      </w:r>
      <w:r w:rsidR="000C7A13" w:rsidRPr="00535A4C">
        <w:rPr>
          <w:lang w:eastAsia="hr-HR"/>
        </w:rPr>
        <w:t>',</w:t>
      </w:r>
      <w:r w:rsidRPr="00535A4C">
        <w:rPr>
          <w:lang w:eastAsia="hr-HR"/>
        </w:rPr>
        <w:t xml:space="preserve"> </w:t>
      </w:r>
      <w:r w:rsidRPr="00535A4C">
        <w:rPr>
          <w:iCs/>
          <w:lang w:eastAsia="hr-HR"/>
        </w:rPr>
        <w:t>The quarterly journal of economics</w:t>
      </w:r>
      <w:r w:rsidRPr="00535A4C">
        <w:rPr>
          <w:lang w:eastAsia="hr-HR"/>
        </w:rPr>
        <w:t xml:space="preserve">, </w:t>
      </w:r>
      <w:r w:rsidRPr="00535A4C">
        <w:rPr>
          <w:iCs/>
          <w:lang w:eastAsia="hr-HR"/>
        </w:rPr>
        <w:t>122</w:t>
      </w:r>
      <w:r w:rsidRPr="00535A4C">
        <w:rPr>
          <w:lang w:eastAsia="hr-HR"/>
        </w:rPr>
        <w:t>(2), 535–568.</w:t>
      </w:r>
    </w:p>
    <w:p w14:paraId="1ECB71BB" w14:textId="77777777" w:rsidR="00C57097" w:rsidRPr="00535A4C" w:rsidRDefault="00C57097"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CBS - Histori</w:t>
      </w:r>
      <w:r w:rsidR="000C7A13" w:rsidRPr="00535A4C">
        <w:rPr>
          <w:lang w:eastAsia="hr-HR"/>
        </w:rPr>
        <w:t>cal series - Publications, (http://www.cbs.nl/en-GB/menu/themas/dossiers/historische-reeksen/cijfers/extra/historische-reeksen.htm</w:t>
      </w:r>
      <w:r w:rsidRPr="00535A4C">
        <w:rPr>
          <w:lang w:eastAsia="hr-HR"/>
        </w:rPr>
        <w:t xml:space="preserve">). </w:t>
      </w:r>
      <w:r w:rsidR="000C7A13" w:rsidRPr="00535A4C">
        <w:rPr>
          <w:lang w:eastAsia="hr-HR"/>
        </w:rPr>
        <w:t xml:space="preserve">web page accessed 15.04.2013. </w:t>
      </w:r>
      <w:r w:rsidRPr="00535A4C">
        <w:rPr>
          <w:lang w:eastAsia="hr-HR"/>
        </w:rPr>
        <w:t>Statistics Netherlands.</w:t>
      </w:r>
    </w:p>
    <w:p w14:paraId="7DD6D5B1" w14:textId="77777777" w:rsidR="00C57097" w:rsidRPr="00535A4C" w:rsidRDefault="00C57097"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Clayton, G., Gilber</w:t>
      </w:r>
      <w:r w:rsidR="0049563B" w:rsidRPr="00535A4C">
        <w:rPr>
          <w:lang w:eastAsia="hr-HR"/>
        </w:rPr>
        <w:t>t, J. C., and</w:t>
      </w:r>
      <w:r w:rsidR="000C7A13" w:rsidRPr="00535A4C">
        <w:rPr>
          <w:lang w:eastAsia="hr-HR"/>
        </w:rPr>
        <w:t xml:space="preserve"> Sedgwick, R. (1971),</w:t>
      </w:r>
      <w:r w:rsidRPr="00535A4C">
        <w:rPr>
          <w:lang w:eastAsia="hr-HR"/>
        </w:rPr>
        <w:t xml:space="preserve"> </w:t>
      </w:r>
      <w:r w:rsidR="000C7A13" w:rsidRPr="00535A4C">
        <w:rPr>
          <w:lang w:eastAsia="hr-HR"/>
        </w:rPr>
        <w:t>'</w:t>
      </w:r>
      <w:r w:rsidR="0049563B" w:rsidRPr="00535A4C">
        <w:rPr>
          <w:iCs/>
          <w:lang w:eastAsia="hr-HR"/>
        </w:rPr>
        <w:t>Monetary Theory and Monetary P</w:t>
      </w:r>
      <w:r w:rsidRPr="00535A4C">
        <w:rPr>
          <w:iCs/>
          <w:lang w:eastAsia="hr-HR"/>
        </w:rPr>
        <w:t>olicy</w:t>
      </w:r>
      <w:r w:rsidR="000C7A13" w:rsidRPr="00535A4C">
        <w:rPr>
          <w:iCs/>
          <w:lang w:eastAsia="hr-HR"/>
        </w:rPr>
        <w:t>'</w:t>
      </w:r>
      <w:r w:rsidRPr="00535A4C">
        <w:rPr>
          <w:iCs/>
          <w:lang w:eastAsia="hr-HR"/>
        </w:rPr>
        <w:t xml:space="preserve"> in the 1970s: proceedings of the 1970 Sheffield Money Seminar</w:t>
      </w:r>
      <w:r w:rsidRPr="00535A4C">
        <w:rPr>
          <w:lang w:eastAsia="hr-HR"/>
        </w:rPr>
        <w:t>. Oxford University Press.</w:t>
      </w:r>
    </w:p>
    <w:p w14:paraId="35D0E16F" w14:textId="77777777" w:rsidR="00C57097" w:rsidRPr="00535A4C" w:rsidRDefault="00C57097"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Cogley, T., Sarg</w:t>
      </w:r>
      <w:r w:rsidR="0049563B" w:rsidRPr="00535A4C">
        <w:rPr>
          <w:lang w:eastAsia="hr-HR"/>
        </w:rPr>
        <w:t>ent, T. J., and</w:t>
      </w:r>
      <w:r w:rsidR="000C7A13" w:rsidRPr="00535A4C">
        <w:rPr>
          <w:lang w:eastAsia="hr-HR"/>
        </w:rPr>
        <w:t xml:space="preserve"> Surico, P. (2011),</w:t>
      </w:r>
      <w:r w:rsidRPr="00535A4C">
        <w:rPr>
          <w:lang w:eastAsia="hr-HR"/>
        </w:rPr>
        <w:t xml:space="preserve"> </w:t>
      </w:r>
      <w:r w:rsidR="000C7A13" w:rsidRPr="00535A4C">
        <w:rPr>
          <w:lang w:eastAsia="hr-HR"/>
        </w:rPr>
        <w:t>'</w:t>
      </w:r>
      <w:r w:rsidRPr="00535A4C">
        <w:rPr>
          <w:iCs/>
          <w:lang w:eastAsia="hr-HR"/>
        </w:rPr>
        <w:t>The Return of the Gibson Paradox</w:t>
      </w:r>
      <w:r w:rsidR="000C7A13" w:rsidRPr="00535A4C">
        <w:rPr>
          <w:iCs/>
          <w:lang w:eastAsia="hr-HR"/>
        </w:rPr>
        <w:t>'</w:t>
      </w:r>
      <w:r w:rsidR="000C7A13" w:rsidRPr="00535A4C">
        <w:rPr>
          <w:lang w:eastAsia="hr-HR"/>
        </w:rPr>
        <w:t>,</w:t>
      </w:r>
      <w:r w:rsidRPr="00535A4C">
        <w:rPr>
          <w:lang w:eastAsia="hr-HR"/>
        </w:rPr>
        <w:t xml:space="preserve"> </w:t>
      </w:r>
      <w:r w:rsidR="0049563B" w:rsidRPr="00535A4C">
        <w:rPr>
          <w:lang w:eastAsia="hr-HR"/>
        </w:rPr>
        <w:t>in Federal Reserve Bank of Atlanta Working Papers</w:t>
      </w:r>
      <w:r w:rsidRPr="00535A4C">
        <w:rPr>
          <w:lang w:eastAsia="hr-HR"/>
        </w:rPr>
        <w:t>.</w:t>
      </w:r>
    </w:p>
    <w:p w14:paraId="29653C29" w14:textId="77777777" w:rsidR="00C57097" w:rsidRPr="00535A4C" w:rsidRDefault="0049563B"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Elsner, J. B., and</w:t>
      </w:r>
      <w:r w:rsidR="00C57097" w:rsidRPr="00535A4C">
        <w:rPr>
          <w:lang w:eastAsia="hr-HR"/>
        </w:rPr>
        <w:t xml:space="preserve"> </w:t>
      </w:r>
      <w:r w:rsidRPr="00535A4C">
        <w:rPr>
          <w:lang w:eastAsia="hr-HR"/>
        </w:rPr>
        <w:t>Tsonis, A. A. (1996),</w:t>
      </w:r>
      <w:r w:rsidR="00C57097" w:rsidRPr="00535A4C">
        <w:rPr>
          <w:lang w:eastAsia="hr-HR"/>
        </w:rPr>
        <w:t xml:space="preserve"> </w:t>
      </w:r>
      <w:r w:rsidRPr="00535A4C">
        <w:rPr>
          <w:iCs/>
          <w:lang w:eastAsia="hr-HR"/>
        </w:rPr>
        <w:t>Singular Spectrum Analysis: a New Tool in Time Series A</w:t>
      </w:r>
      <w:r w:rsidR="00C57097" w:rsidRPr="00535A4C">
        <w:rPr>
          <w:iCs/>
          <w:lang w:eastAsia="hr-HR"/>
        </w:rPr>
        <w:t>nalysis</w:t>
      </w:r>
      <w:r w:rsidRPr="00535A4C">
        <w:rPr>
          <w:lang w:eastAsia="hr-HR"/>
        </w:rPr>
        <w:t>,</w:t>
      </w:r>
      <w:r w:rsidR="00C57097" w:rsidRPr="00535A4C">
        <w:rPr>
          <w:lang w:eastAsia="hr-HR"/>
        </w:rPr>
        <w:t xml:space="preserve"> Springer.</w:t>
      </w:r>
    </w:p>
    <w:p w14:paraId="2BC1CCC2" w14:textId="77777777" w:rsidR="00C57097" w:rsidRPr="00535A4C" w:rsidRDefault="0056141B"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Engle, R. F. (1976),</w:t>
      </w:r>
      <w:r w:rsidR="00C57097" w:rsidRPr="00535A4C">
        <w:rPr>
          <w:lang w:eastAsia="hr-HR"/>
        </w:rPr>
        <w:t xml:space="preserve"> </w:t>
      </w:r>
      <w:r w:rsidRPr="00535A4C">
        <w:rPr>
          <w:lang w:eastAsia="hr-HR"/>
        </w:rPr>
        <w:t>'Interpreting Spectral Analyses in Terms of Time-Domain M</w:t>
      </w:r>
      <w:r w:rsidR="00C57097" w:rsidRPr="00535A4C">
        <w:rPr>
          <w:lang w:eastAsia="hr-HR"/>
        </w:rPr>
        <w:t xml:space="preserve">odels. </w:t>
      </w:r>
      <w:r w:rsidR="00C57097" w:rsidRPr="00535A4C">
        <w:rPr>
          <w:iCs/>
          <w:lang w:eastAsia="hr-HR"/>
        </w:rPr>
        <w:t>Annals of Economic and Social Measurement</w:t>
      </w:r>
      <w:r w:rsidR="00C57097" w:rsidRPr="00535A4C">
        <w:rPr>
          <w:lang w:eastAsia="hr-HR"/>
        </w:rPr>
        <w:t>.</w:t>
      </w:r>
    </w:p>
    <w:p w14:paraId="44D8FC7A" w14:textId="77777777" w:rsidR="00C57097" w:rsidRPr="00535A4C" w:rsidRDefault="0056141B"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Fase, M. (1972),</w:t>
      </w:r>
      <w:r w:rsidR="00C57097" w:rsidRPr="00535A4C">
        <w:rPr>
          <w:lang w:eastAsia="hr-HR"/>
        </w:rPr>
        <w:t xml:space="preserve"> </w:t>
      </w:r>
      <w:r w:rsidRPr="00535A4C">
        <w:rPr>
          <w:lang w:eastAsia="hr-HR"/>
        </w:rPr>
        <w:t>'</w:t>
      </w:r>
      <w:r w:rsidR="00C57097" w:rsidRPr="00535A4C">
        <w:rPr>
          <w:iCs/>
          <w:lang w:eastAsia="hr-HR"/>
        </w:rPr>
        <w:t>Bond Yields and Expected Inflation: A Quantitative Analysis of the Dutch Experience</w:t>
      </w:r>
      <w:r w:rsidRPr="00535A4C">
        <w:rPr>
          <w:iCs/>
          <w:lang w:eastAsia="hr-HR"/>
        </w:rPr>
        <w:t>'</w:t>
      </w:r>
      <w:r w:rsidRPr="00535A4C">
        <w:rPr>
          <w:lang w:eastAsia="hr-HR"/>
        </w:rPr>
        <w:t>,</w:t>
      </w:r>
      <w:r w:rsidR="00C57097" w:rsidRPr="00535A4C">
        <w:rPr>
          <w:lang w:eastAsia="hr-HR"/>
        </w:rPr>
        <w:t xml:space="preserve"> De Nederlandsche Bank.</w:t>
      </w:r>
    </w:p>
    <w:p w14:paraId="535AB188" w14:textId="77777777" w:rsidR="00C57097" w:rsidRPr="00535A4C" w:rsidRDefault="0056141B"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Fields, T. W. (1984),</w:t>
      </w:r>
      <w:r w:rsidR="00C57097" w:rsidRPr="00535A4C">
        <w:rPr>
          <w:lang w:eastAsia="hr-HR"/>
        </w:rPr>
        <w:t xml:space="preserve"> </w:t>
      </w:r>
      <w:r w:rsidR="00C57097" w:rsidRPr="00535A4C">
        <w:rPr>
          <w:iCs/>
          <w:lang w:eastAsia="hr-HR"/>
        </w:rPr>
        <w:t>A Re-examination of the Gibson Paradox</w:t>
      </w:r>
      <w:r w:rsidR="00C57097" w:rsidRPr="00535A4C">
        <w:rPr>
          <w:lang w:eastAsia="hr-HR"/>
        </w:rPr>
        <w:t>. Garland Pub.</w:t>
      </w:r>
    </w:p>
    <w:p w14:paraId="595986BF" w14:textId="77777777" w:rsidR="00C57097" w:rsidRPr="00535A4C" w:rsidRDefault="0056141B"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Fisher, I. (1930),</w:t>
      </w:r>
      <w:r w:rsidR="00C57097" w:rsidRPr="00535A4C">
        <w:rPr>
          <w:lang w:eastAsia="hr-HR"/>
        </w:rPr>
        <w:t xml:space="preserve"> </w:t>
      </w:r>
      <w:r w:rsidR="00C57097" w:rsidRPr="00535A4C">
        <w:rPr>
          <w:iCs/>
          <w:lang w:eastAsia="hr-HR"/>
        </w:rPr>
        <w:t>The theory of interest</w:t>
      </w:r>
      <w:r w:rsidR="00C57097" w:rsidRPr="00535A4C">
        <w:rPr>
          <w:lang w:eastAsia="hr-HR"/>
        </w:rPr>
        <w:t xml:space="preserve"> (Vol. 43). New York: The Macmillan Company.</w:t>
      </w:r>
    </w:p>
    <w:p w14:paraId="5A932D25" w14:textId="77777777" w:rsidR="00C57097" w:rsidRPr="00535A4C" w:rsidRDefault="0056141B"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Friedman, M., and Schwartz, A. J. (1976),</w:t>
      </w:r>
      <w:r w:rsidR="00C57097" w:rsidRPr="00535A4C">
        <w:rPr>
          <w:lang w:eastAsia="hr-HR"/>
        </w:rPr>
        <w:t xml:space="preserve"> From Gibson to Fisher (pp. 130–133). Presented at the Explorations in Economic Research, Volume 3, number 2 (Conference on International Trade, Finance, and Development of Pacific Basin Countries, December 6-7, 1974, NBER.</w:t>
      </w:r>
    </w:p>
    <w:p w14:paraId="5B37C386" w14:textId="77777777" w:rsidR="00C57097" w:rsidRPr="00535A4C" w:rsidRDefault="0056141B"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Ghil, M., and Taricco, C. (1997), Advanced Spectral Analysis M</w:t>
      </w:r>
      <w:r w:rsidR="00C57097" w:rsidRPr="00535A4C">
        <w:rPr>
          <w:lang w:eastAsia="hr-HR"/>
        </w:rPr>
        <w:t xml:space="preserve">ethods. </w:t>
      </w:r>
      <w:r w:rsidR="00C57097" w:rsidRPr="00535A4C">
        <w:rPr>
          <w:iCs/>
          <w:lang w:eastAsia="hr-HR"/>
        </w:rPr>
        <w:t>Past and Present Variability of the Solar-Terrestrial System: Measurement, Data Analysis and Theoretical Models</w:t>
      </w:r>
      <w:r w:rsidR="00C57097" w:rsidRPr="00535A4C">
        <w:rPr>
          <w:lang w:eastAsia="hr-HR"/>
        </w:rPr>
        <w:t xml:space="preserve">, </w:t>
      </w:r>
      <w:r w:rsidRPr="00535A4C">
        <w:rPr>
          <w:lang w:eastAsia="hr-HR"/>
        </w:rPr>
        <w:t>G. Cini Castagnoli and A. Provenzale (Eds.), Societa Italiana di Fisica, Bologna, &amp; IOS Press, Amsterdam, pp. 137-159.</w:t>
      </w:r>
    </w:p>
    <w:p w14:paraId="0554D8C7" w14:textId="77777777" w:rsidR="00C57097" w:rsidRPr="00535A4C" w:rsidRDefault="00C57097"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Ghil, M.</w:t>
      </w:r>
      <w:r w:rsidR="00167E5D" w:rsidRPr="00535A4C">
        <w:rPr>
          <w:lang w:eastAsia="hr-HR"/>
        </w:rPr>
        <w:t>, &amp; Yiou, P. (1996),</w:t>
      </w:r>
      <w:r w:rsidR="0056141B" w:rsidRPr="00535A4C">
        <w:rPr>
          <w:lang w:eastAsia="hr-HR"/>
        </w:rPr>
        <w:t xml:space="preserve"> Spectral Methods: What They Can and Cannot do for Climatic Time S</w:t>
      </w:r>
      <w:r w:rsidRPr="00535A4C">
        <w:rPr>
          <w:lang w:eastAsia="hr-HR"/>
        </w:rPr>
        <w:t xml:space="preserve">eries. </w:t>
      </w:r>
      <w:r w:rsidR="0056141B" w:rsidRPr="00535A4C">
        <w:rPr>
          <w:iCs/>
          <w:lang w:eastAsia="hr-HR"/>
        </w:rPr>
        <w:t>Decadal Climate Variability: Dynamics and Predictability, D. Anderson and J. Willebrand (Eds.), Elsevier, pp. 446-482.</w:t>
      </w:r>
    </w:p>
    <w:p w14:paraId="230D0FC1" w14:textId="77777777" w:rsidR="00C57097" w:rsidRPr="00535A4C" w:rsidRDefault="00C5717C"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7B26A3">
        <w:rPr>
          <w:lang w:val="de-DE" w:eastAsia="hr-HR"/>
        </w:rPr>
        <w:t xml:space="preserve">M. Ghil, M. R. Allen, M. D. Dettinger, K. Ide, D. Kondrashov, M. E. Mann, A. W. Robertson, A. Saunders, Y. Tian, F. Varadi, P. Yiou. </w:t>
      </w:r>
      <w:r w:rsidRPr="00535A4C">
        <w:rPr>
          <w:lang w:eastAsia="hr-HR"/>
        </w:rPr>
        <w:t>(2002),</w:t>
      </w:r>
      <w:r w:rsidR="00C57097" w:rsidRPr="00535A4C">
        <w:rPr>
          <w:lang w:eastAsia="hr-HR"/>
        </w:rPr>
        <w:t xml:space="preserve"> </w:t>
      </w:r>
      <w:r w:rsidRPr="00535A4C">
        <w:rPr>
          <w:lang w:eastAsia="hr-HR"/>
        </w:rPr>
        <w:t>'</w:t>
      </w:r>
      <w:r w:rsidR="00C57097" w:rsidRPr="00535A4C">
        <w:rPr>
          <w:lang w:eastAsia="hr-HR"/>
        </w:rPr>
        <w:t>Advanced Spectral Methods for Climatic Time Series</w:t>
      </w:r>
      <w:r w:rsidRPr="00535A4C">
        <w:rPr>
          <w:lang w:eastAsia="hr-HR"/>
        </w:rPr>
        <w:t>',</w:t>
      </w:r>
      <w:r w:rsidR="00C57097" w:rsidRPr="00535A4C">
        <w:rPr>
          <w:lang w:eastAsia="hr-HR"/>
        </w:rPr>
        <w:t xml:space="preserve"> </w:t>
      </w:r>
      <w:r w:rsidR="00C57097" w:rsidRPr="00535A4C">
        <w:rPr>
          <w:iCs/>
          <w:lang w:eastAsia="hr-HR"/>
        </w:rPr>
        <w:t>Reviews of Geophysics</w:t>
      </w:r>
      <w:r w:rsidR="00C57097" w:rsidRPr="00535A4C">
        <w:rPr>
          <w:lang w:eastAsia="hr-HR"/>
        </w:rPr>
        <w:t xml:space="preserve">, </w:t>
      </w:r>
      <w:r w:rsidR="00C57097" w:rsidRPr="00535A4C">
        <w:rPr>
          <w:iCs/>
          <w:lang w:eastAsia="hr-HR"/>
        </w:rPr>
        <w:t>40</w:t>
      </w:r>
      <w:r w:rsidR="00C57097" w:rsidRPr="00535A4C">
        <w:rPr>
          <w:lang w:eastAsia="hr-HR"/>
        </w:rPr>
        <w:t>(1), 1003. doi:10.1029/2000RG000092</w:t>
      </w:r>
    </w:p>
    <w:p w14:paraId="47222133" w14:textId="77777777" w:rsidR="00C57097" w:rsidRPr="00535A4C" w:rsidRDefault="0056141B"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Gibson, A. H. (1923), The Future Course of High Class Investment V</w:t>
      </w:r>
      <w:r w:rsidR="00C57097" w:rsidRPr="00535A4C">
        <w:rPr>
          <w:lang w:eastAsia="hr-HR"/>
        </w:rPr>
        <w:t xml:space="preserve">alues. </w:t>
      </w:r>
      <w:r w:rsidR="00C57097" w:rsidRPr="00535A4C">
        <w:rPr>
          <w:iCs/>
          <w:lang w:eastAsia="hr-HR"/>
        </w:rPr>
        <w:t xml:space="preserve">Banker's </w:t>
      </w:r>
      <w:r w:rsidR="00C57097" w:rsidRPr="00535A4C">
        <w:rPr>
          <w:iCs/>
          <w:lang w:eastAsia="hr-HR"/>
        </w:rPr>
        <w:lastRenderedPageBreak/>
        <w:t>Magazine (London)</w:t>
      </w:r>
      <w:r w:rsidR="00C57097" w:rsidRPr="00535A4C">
        <w:rPr>
          <w:lang w:eastAsia="hr-HR"/>
        </w:rPr>
        <w:t xml:space="preserve">, </w:t>
      </w:r>
      <w:r w:rsidR="00C57097" w:rsidRPr="00535A4C">
        <w:rPr>
          <w:iCs/>
          <w:lang w:eastAsia="hr-HR"/>
        </w:rPr>
        <w:t>115</w:t>
      </w:r>
      <w:r w:rsidR="00C57097" w:rsidRPr="00535A4C">
        <w:rPr>
          <w:lang w:eastAsia="hr-HR"/>
        </w:rPr>
        <w:t>, 15–34.</w:t>
      </w:r>
    </w:p>
    <w:p w14:paraId="03608350" w14:textId="77777777" w:rsidR="00C57097" w:rsidRPr="00535A4C" w:rsidRDefault="00167E5D"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Golyandina, N., and Zhigljavsky, A. (2013),</w:t>
      </w:r>
      <w:r w:rsidR="00C57097" w:rsidRPr="00535A4C">
        <w:rPr>
          <w:lang w:eastAsia="hr-HR"/>
        </w:rPr>
        <w:t xml:space="preserve"> </w:t>
      </w:r>
      <w:r w:rsidR="00C57097" w:rsidRPr="00535A4C">
        <w:rPr>
          <w:iCs/>
          <w:lang w:eastAsia="hr-HR"/>
        </w:rPr>
        <w:t>Singular Spectrum Analysis for Time Series</w:t>
      </w:r>
      <w:r w:rsidR="00C57097" w:rsidRPr="00535A4C">
        <w:rPr>
          <w:lang w:eastAsia="hr-HR"/>
        </w:rPr>
        <w:t>. Springer.</w:t>
      </w:r>
    </w:p>
    <w:p w14:paraId="289A491D" w14:textId="77777777" w:rsidR="00C57097" w:rsidRPr="00535A4C" w:rsidRDefault="00C57097"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Golyandina, N., Nekrutki</w:t>
      </w:r>
      <w:r w:rsidR="00167E5D" w:rsidRPr="00535A4C">
        <w:rPr>
          <w:lang w:eastAsia="hr-HR"/>
        </w:rPr>
        <w:t>n, V., and Zhigljavsky, A. A. (2010),</w:t>
      </w:r>
      <w:r w:rsidRPr="00535A4C">
        <w:rPr>
          <w:lang w:eastAsia="hr-HR"/>
        </w:rPr>
        <w:t xml:space="preserve"> </w:t>
      </w:r>
      <w:r w:rsidR="00C5717C" w:rsidRPr="00535A4C">
        <w:rPr>
          <w:iCs/>
          <w:lang w:eastAsia="hr-HR"/>
        </w:rPr>
        <w:t>Analysis of Time Series Structure: SSA and Related T</w:t>
      </w:r>
      <w:r w:rsidRPr="00535A4C">
        <w:rPr>
          <w:iCs/>
          <w:lang w:eastAsia="hr-HR"/>
        </w:rPr>
        <w:t>echniques</w:t>
      </w:r>
      <w:r w:rsidRPr="00535A4C">
        <w:rPr>
          <w:lang w:eastAsia="hr-HR"/>
        </w:rPr>
        <w:t>. CRC Press.</w:t>
      </w:r>
    </w:p>
    <w:p w14:paraId="41F3A817" w14:textId="77777777" w:rsidR="00C57097" w:rsidRPr="00535A4C" w:rsidRDefault="00C57097" w:rsidP="00C5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i/>
          <w:iCs/>
          <w:lang w:eastAsia="hr-HR"/>
        </w:rPr>
      </w:pPr>
      <w:r w:rsidRPr="00535A4C">
        <w:rPr>
          <w:lang w:eastAsia="hr-HR"/>
        </w:rPr>
        <w:t xml:space="preserve">González, </w:t>
      </w:r>
      <w:r w:rsidR="00167E5D" w:rsidRPr="00535A4C">
        <w:rPr>
          <w:lang w:eastAsia="hr-HR"/>
        </w:rPr>
        <w:t>E., Melo, L. F., Rojas, L. E., and</w:t>
      </w:r>
      <w:r w:rsidR="00C5717C" w:rsidRPr="00535A4C">
        <w:rPr>
          <w:lang w:eastAsia="hr-HR"/>
        </w:rPr>
        <w:t xml:space="preserve"> Rojas, B. (2010</w:t>
      </w:r>
      <w:r w:rsidRPr="00535A4C">
        <w:rPr>
          <w:lang w:eastAsia="hr-HR"/>
        </w:rPr>
        <w:t xml:space="preserve">). </w:t>
      </w:r>
      <w:r w:rsidRPr="00535A4C">
        <w:rPr>
          <w:iCs/>
          <w:lang w:eastAsia="hr-HR"/>
        </w:rPr>
        <w:t>E</w:t>
      </w:r>
      <w:r w:rsidR="00C5717C" w:rsidRPr="00535A4C">
        <w:rPr>
          <w:iCs/>
          <w:lang w:eastAsia="hr-HR"/>
        </w:rPr>
        <w:t>stimations of the Natural Rate of Interest in Colombia</w:t>
      </w:r>
      <w:r w:rsidR="00C5717C" w:rsidRPr="00535A4C">
        <w:rPr>
          <w:i/>
          <w:iCs/>
          <w:lang w:eastAsia="hr-HR"/>
        </w:rPr>
        <w:t xml:space="preserve"> </w:t>
      </w:r>
      <w:r w:rsidRPr="00535A4C">
        <w:rPr>
          <w:lang w:eastAsia="hr-HR"/>
        </w:rPr>
        <w:t xml:space="preserve">(No. 626). </w:t>
      </w:r>
      <w:r w:rsidRPr="00535A4C">
        <w:rPr>
          <w:i/>
          <w:iCs/>
          <w:lang w:eastAsia="hr-HR"/>
        </w:rPr>
        <w:t>banrep.gov.co</w:t>
      </w:r>
      <w:r w:rsidRPr="00535A4C">
        <w:rPr>
          <w:lang w:eastAsia="hr-HR"/>
        </w:rPr>
        <w:t xml:space="preserve"> (Banco De La Republica Colombia.). Bogota.</w:t>
      </w:r>
    </w:p>
    <w:p w14:paraId="3B8449EE" w14:textId="77777777" w:rsidR="00C57097" w:rsidRPr="00535A4C" w:rsidRDefault="00C5717C"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Granger, C. W. J., and Hatanaka, M. (1964), Spectral Analysis of Economic Time S</w:t>
      </w:r>
      <w:r w:rsidR="00C57097" w:rsidRPr="00535A4C">
        <w:rPr>
          <w:lang w:eastAsia="hr-HR"/>
        </w:rPr>
        <w:t xml:space="preserve">eries. </w:t>
      </w:r>
      <w:r w:rsidR="00C57097" w:rsidRPr="00535A4C">
        <w:rPr>
          <w:iCs/>
          <w:lang w:eastAsia="hr-HR"/>
        </w:rPr>
        <w:t>Spectral analysis of economic time series</w:t>
      </w:r>
      <w:r w:rsidR="00C57097" w:rsidRPr="00535A4C">
        <w:rPr>
          <w:i/>
          <w:iCs/>
          <w:lang w:eastAsia="hr-HR"/>
        </w:rPr>
        <w:t>.</w:t>
      </w:r>
    </w:p>
    <w:p w14:paraId="5D15058D" w14:textId="77777777" w:rsidR="00C57097" w:rsidRPr="00535A4C" w:rsidRDefault="00C5717C"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Groote, P., Albers, R., and De Jong, H. (1996),</w:t>
      </w:r>
      <w:r w:rsidR="00C57097" w:rsidRPr="00535A4C">
        <w:rPr>
          <w:lang w:eastAsia="hr-HR"/>
        </w:rPr>
        <w:t xml:space="preserve"> </w:t>
      </w:r>
      <w:r w:rsidR="00C57097" w:rsidRPr="00535A4C">
        <w:rPr>
          <w:iCs/>
          <w:lang w:eastAsia="hr-HR"/>
        </w:rPr>
        <w:t>A standardised time series of the stock of fixed capital in the Netherlands</w:t>
      </w:r>
      <w:r w:rsidR="00C57097" w:rsidRPr="00535A4C">
        <w:rPr>
          <w:i/>
          <w:iCs/>
          <w:lang w:eastAsia="hr-HR"/>
        </w:rPr>
        <w:t xml:space="preserve">, </w:t>
      </w:r>
      <w:r w:rsidR="00C57097" w:rsidRPr="00535A4C">
        <w:rPr>
          <w:iCs/>
          <w:lang w:eastAsia="hr-HR"/>
        </w:rPr>
        <w:t>1900-1995</w:t>
      </w:r>
      <w:r w:rsidR="00C57097" w:rsidRPr="00535A4C">
        <w:rPr>
          <w:lang w:eastAsia="hr-HR"/>
        </w:rPr>
        <w:t>. Groningen Growth and Development Centre, Faculty of Economics, University of Groningen.</w:t>
      </w:r>
    </w:p>
    <w:p w14:paraId="0A82E71D" w14:textId="77777777" w:rsidR="00C57097" w:rsidRPr="00535A4C" w:rsidRDefault="00C5717C"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Groth, A. A., and Ghil, M. M. (2011),</w:t>
      </w:r>
      <w:r w:rsidR="00C57097" w:rsidRPr="00535A4C">
        <w:rPr>
          <w:lang w:eastAsia="hr-HR"/>
        </w:rPr>
        <w:t xml:space="preserve"> </w:t>
      </w:r>
      <w:r w:rsidRPr="00535A4C">
        <w:rPr>
          <w:lang w:eastAsia="hr-HR"/>
        </w:rPr>
        <w:t>'Multivariate Singular Spectrum Analysis and the Road to Phase Synchronization',</w:t>
      </w:r>
      <w:r w:rsidR="00C57097" w:rsidRPr="00535A4C">
        <w:rPr>
          <w:lang w:eastAsia="hr-HR"/>
        </w:rPr>
        <w:t xml:space="preserve"> </w:t>
      </w:r>
      <w:r w:rsidR="00C57097" w:rsidRPr="00535A4C">
        <w:rPr>
          <w:iCs/>
          <w:lang w:eastAsia="hr-HR"/>
        </w:rPr>
        <w:t>Physical Review E</w:t>
      </w:r>
      <w:r w:rsidR="00C57097" w:rsidRPr="00535A4C">
        <w:rPr>
          <w:lang w:eastAsia="hr-HR"/>
        </w:rPr>
        <w:t xml:space="preserve">, </w:t>
      </w:r>
      <w:r w:rsidR="00DD137D" w:rsidRPr="00535A4C">
        <w:rPr>
          <w:iCs/>
          <w:lang w:eastAsia="hr-HR"/>
        </w:rPr>
        <w:t xml:space="preserve">84, </w:t>
      </w:r>
      <w:r w:rsidR="00DD137D" w:rsidRPr="00535A4C">
        <w:rPr>
          <w:lang w:eastAsia="hr-HR"/>
        </w:rPr>
        <w:t>036206</w:t>
      </w:r>
      <w:r w:rsidR="00C57097" w:rsidRPr="00535A4C">
        <w:rPr>
          <w:lang w:eastAsia="hr-HR"/>
        </w:rPr>
        <w:t>.</w:t>
      </w:r>
    </w:p>
    <w:p w14:paraId="5AE904CC" w14:textId="77777777" w:rsidR="00C57097" w:rsidRPr="00535A4C" w:rsidRDefault="00DD137D"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Hamilton, J. D. (1994),</w:t>
      </w:r>
      <w:r w:rsidR="00C57097" w:rsidRPr="00535A4C">
        <w:rPr>
          <w:lang w:eastAsia="hr-HR"/>
        </w:rPr>
        <w:t xml:space="preserve"> </w:t>
      </w:r>
      <w:r w:rsidR="00C57097" w:rsidRPr="00535A4C">
        <w:rPr>
          <w:iCs/>
          <w:lang w:eastAsia="hr-HR"/>
        </w:rPr>
        <w:t>Time series analysis</w:t>
      </w:r>
      <w:r w:rsidR="00C57097" w:rsidRPr="00535A4C">
        <w:rPr>
          <w:lang w:eastAsia="hr-HR"/>
        </w:rPr>
        <w:t xml:space="preserve"> (Vol. 2). Cambridge Univ Press.</w:t>
      </w:r>
    </w:p>
    <w:p w14:paraId="3869E7F7" w14:textId="77777777" w:rsidR="00C57097" w:rsidRPr="00535A4C" w:rsidRDefault="00C5717C"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Hart, M., Jonker, J., and van Zanden, J. L. (2010),</w:t>
      </w:r>
      <w:r w:rsidR="00C57097" w:rsidRPr="00535A4C">
        <w:rPr>
          <w:lang w:eastAsia="hr-HR"/>
        </w:rPr>
        <w:t xml:space="preserve"> </w:t>
      </w:r>
      <w:r w:rsidR="00C57097" w:rsidRPr="00535A4C">
        <w:rPr>
          <w:iCs/>
          <w:lang w:eastAsia="hr-HR"/>
        </w:rPr>
        <w:t>A Financial History of the Netherlands</w:t>
      </w:r>
      <w:r w:rsidR="00C57097" w:rsidRPr="00535A4C">
        <w:rPr>
          <w:lang w:eastAsia="hr-HR"/>
        </w:rPr>
        <w:t>. Cambridge University Press.</w:t>
      </w:r>
    </w:p>
    <w:p w14:paraId="51F4D11C" w14:textId="77777777" w:rsidR="00C57097" w:rsidRPr="00535A4C" w:rsidRDefault="00DD137D"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Harvey, A. C. (1990),</w:t>
      </w:r>
      <w:r w:rsidR="00C57097" w:rsidRPr="00535A4C">
        <w:rPr>
          <w:lang w:eastAsia="hr-HR"/>
        </w:rPr>
        <w:t xml:space="preserve"> </w:t>
      </w:r>
      <w:r w:rsidR="00C57097" w:rsidRPr="00535A4C">
        <w:rPr>
          <w:iCs/>
          <w:lang w:eastAsia="hr-HR"/>
        </w:rPr>
        <w:t>Forecasting, structural time series models and the Kalman filter</w:t>
      </w:r>
      <w:r w:rsidR="00C57097" w:rsidRPr="00535A4C">
        <w:rPr>
          <w:lang w:eastAsia="hr-HR"/>
        </w:rPr>
        <w:t>. Cambridge university press.</w:t>
      </w:r>
    </w:p>
    <w:p w14:paraId="38070BF8" w14:textId="77777777" w:rsidR="00C57097" w:rsidRDefault="00C57097" w:rsidP="00DD13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Hassani, H., Z</w:t>
      </w:r>
      <w:r w:rsidR="00DD137D" w:rsidRPr="00535A4C">
        <w:rPr>
          <w:lang w:eastAsia="hr-HR"/>
        </w:rPr>
        <w:t>higljavsky, A., Patterson, K., and Soofi, A. (2011), 'A Comprehensive Causality Test B</w:t>
      </w:r>
      <w:r w:rsidRPr="00535A4C">
        <w:rPr>
          <w:lang w:eastAsia="hr-HR"/>
        </w:rPr>
        <w:t>as</w:t>
      </w:r>
      <w:r w:rsidR="00DD137D" w:rsidRPr="00535A4C">
        <w:rPr>
          <w:lang w:eastAsia="hr-HR"/>
        </w:rPr>
        <w:t>ed on the Singular Spectrum A</w:t>
      </w:r>
      <w:r w:rsidRPr="00535A4C">
        <w:rPr>
          <w:lang w:eastAsia="hr-HR"/>
        </w:rPr>
        <w:t>nalysis</w:t>
      </w:r>
      <w:r w:rsidR="00DD137D" w:rsidRPr="00535A4C">
        <w:rPr>
          <w:lang w:eastAsia="hr-HR"/>
        </w:rPr>
        <w:t>',</w:t>
      </w:r>
      <w:r w:rsidRPr="00535A4C">
        <w:rPr>
          <w:lang w:eastAsia="hr-HR"/>
        </w:rPr>
        <w:t xml:space="preserve"> </w:t>
      </w:r>
      <w:r w:rsidR="00DD137D" w:rsidRPr="00535A4C">
        <w:rPr>
          <w:lang w:eastAsia="hr-HR"/>
        </w:rPr>
        <w:t>in Phyllis McKay Illari, Federica Russo, Dr., Jon W., Causality in the sciences, Oxford University Press</w:t>
      </w:r>
      <w:r w:rsidRPr="00535A4C">
        <w:rPr>
          <w:lang w:eastAsia="hr-HR"/>
        </w:rPr>
        <w:t>.</w:t>
      </w:r>
    </w:p>
    <w:p w14:paraId="0162F90C" w14:textId="77777777" w:rsidR="008A730C" w:rsidRDefault="008A730C" w:rsidP="00DD13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8A730C">
        <w:rPr>
          <w:lang w:eastAsia="hr-HR"/>
        </w:rPr>
        <w:t xml:space="preserve">Hassani, H., Mahmoudvand, R., &amp; Zokaei, M. (2011). Separability and window length in singular spectrum analysis. </w:t>
      </w:r>
      <w:r w:rsidRPr="008A730C">
        <w:rPr>
          <w:i/>
          <w:lang w:eastAsia="hr-HR"/>
        </w:rPr>
        <w:t>Comptes rendus mathematique</w:t>
      </w:r>
      <w:r w:rsidRPr="008A730C">
        <w:rPr>
          <w:lang w:eastAsia="hr-HR"/>
        </w:rPr>
        <w:t>, 349(17), 987-990.</w:t>
      </w:r>
    </w:p>
    <w:p w14:paraId="4CF8ED91" w14:textId="77777777" w:rsidR="00F236F4" w:rsidRDefault="00F236F4" w:rsidP="00DD13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F236F4">
        <w:rPr>
          <w:lang w:eastAsia="hr-HR"/>
        </w:rPr>
        <w:t>H</w:t>
      </w:r>
      <w:r>
        <w:rPr>
          <w:lang w:eastAsia="hr-HR"/>
        </w:rPr>
        <w:t>assani, H., Mahmoudvand, R</w:t>
      </w:r>
      <w:r w:rsidRPr="00F236F4">
        <w:rPr>
          <w:lang w:eastAsia="hr-HR"/>
        </w:rPr>
        <w:t xml:space="preserve">. (2013). Multivariate singular spectrum analysis: A general view and new vector forecasting approach. </w:t>
      </w:r>
      <w:r w:rsidRPr="00F236F4">
        <w:rPr>
          <w:i/>
          <w:lang w:eastAsia="hr-HR"/>
        </w:rPr>
        <w:t>International Journal of Energy and Statistics</w:t>
      </w:r>
      <w:r w:rsidRPr="00F236F4">
        <w:rPr>
          <w:lang w:eastAsia="hr-HR"/>
        </w:rPr>
        <w:t>, 1(01), 55-83.</w:t>
      </w:r>
    </w:p>
    <w:p w14:paraId="04BEB3F7" w14:textId="77777777" w:rsidR="00F236F4" w:rsidRPr="00535A4C" w:rsidRDefault="00F236F4" w:rsidP="00DD13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F236F4">
        <w:rPr>
          <w:lang w:eastAsia="hr-HR"/>
        </w:rPr>
        <w:t xml:space="preserve">Hassani, H., </w:t>
      </w:r>
      <w:r>
        <w:rPr>
          <w:lang w:eastAsia="hr-HR"/>
        </w:rPr>
        <w:t>Heravi, S. and Zhigljavsky, A. (</w:t>
      </w:r>
      <w:r w:rsidRPr="00F236F4">
        <w:rPr>
          <w:lang w:eastAsia="hr-HR"/>
        </w:rPr>
        <w:t>2012</w:t>
      </w:r>
      <w:r>
        <w:rPr>
          <w:lang w:eastAsia="hr-HR"/>
        </w:rPr>
        <w:t>)</w:t>
      </w:r>
      <w:r w:rsidRPr="00F236F4">
        <w:rPr>
          <w:lang w:eastAsia="hr-HR"/>
        </w:rPr>
        <w:t xml:space="preserve">. Forecasting UK Industrial Production with Multivariate Singular Spectrum Analysis. </w:t>
      </w:r>
      <w:r w:rsidRPr="00F236F4">
        <w:rPr>
          <w:i/>
          <w:lang w:eastAsia="hr-HR"/>
        </w:rPr>
        <w:t>Journal Of Forecasting</w:t>
      </w:r>
      <w:r>
        <w:rPr>
          <w:lang w:eastAsia="hr-HR"/>
        </w:rPr>
        <w:t>, 32(5), 395-408.</w:t>
      </w:r>
    </w:p>
    <w:p w14:paraId="230AB2F8" w14:textId="77777777" w:rsidR="00C57097" w:rsidRDefault="00C57097"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Homepage Statistic</w:t>
      </w:r>
      <w:r w:rsidR="001822C4" w:rsidRPr="00535A4C">
        <w:rPr>
          <w:lang w:eastAsia="hr-HR"/>
        </w:rPr>
        <w:t>s - De Nederlandsche Bank,</w:t>
      </w:r>
      <w:r w:rsidR="00107800" w:rsidRPr="00535A4C">
        <w:rPr>
          <w:lang w:eastAsia="hr-HR"/>
        </w:rPr>
        <w:t xml:space="preserve"> (</w:t>
      </w:r>
      <w:r w:rsidR="001822C4" w:rsidRPr="00535A4C">
        <w:rPr>
          <w:lang w:eastAsia="hr-HR"/>
        </w:rPr>
        <w:t>http://www.dnb.nl/en/home/</w:t>
      </w:r>
      <w:r w:rsidRPr="00535A4C">
        <w:rPr>
          <w:lang w:eastAsia="hr-HR"/>
        </w:rPr>
        <w:t>)</w:t>
      </w:r>
      <w:r w:rsidR="001822C4" w:rsidRPr="00535A4C">
        <w:rPr>
          <w:lang w:eastAsia="hr-HR"/>
        </w:rPr>
        <w:t>, web page accessed 15.02.2013</w:t>
      </w:r>
      <w:r w:rsidRPr="00535A4C">
        <w:rPr>
          <w:lang w:eastAsia="hr-HR"/>
        </w:rPr>
        <w:t xml:space="preserve">. </w:t>
      </w:r>
    </w:p>
    <w:p w14:paraId="6C809C52" w14:textId="77777777" w:rsidR="008A730C" w:rsidRPr="00535A4C" w:rsidRDefault="008A730C"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8A730C">
        <w:rPr>
          <w:lang w:eastAsia="hr-HR"/>
        </w:rPr>
        <w:t>Hassani, H., Mahmoudvand, R., Zokaei, M</w:t>
      </w:r>
      <w:r>
        <w:rPr>
          <w:lang w:eastAsia="hr-HR"/>
        </w:rPr>
        <w:t>., and</w:t>
      </w:r>
      <w:r w:rsidRPr="008A730C">
        <w:rPr>
          <w:lang w:eastAsia="hr-HR"/>
        </w:rPr>
        <w:t xml:space="preserve"> Ghodsi, M. (2012). On the separability between signal and noise in singular spectrum analysis. </w:t>
      </w:r>
      <w:r w:rsidRPr="008A730C">
        <w:rPr>
          <w:i/>
          <w:lang w:eastAsia="hr-HR"/>
        </w:rPr>
        <w:t>Fluctuation and Noise Letters</w:t>
      </w:r>
      <w:r w:rsidRPr="008A730C">
        <w:rPr>
          <w:lang w:eastAsia="hr-HR"/>
        </w:rPr>
        <w:t>, 11(02), 1250014.</w:t>
      </w:r>
    </w:p>
    <w:p w14:paraId="1CF9F9E4" w14:textId="77777777" w:rsidR="00C57097" w:rsidRPr="00535A4C" w:rsidRDefault="001822C4"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Homer, S., and</w:t>
      </w:r>
      <w:r w:rsidR="00A550F9" w:rsidRPr="00535A4C">
        <w:rPr>
          <w:lang w:eastAsia="hr-HR"/>
        </w:rPr>
        <w:t xml:space="preserve"> Sylla, R. (2011),</w:t>
      </w:r>
      <w:r w:rsidR="00C57097" w:rsidRPr="00535A4C">
        <w:rPr>
          <w:lang w:eastAsia="hr-HR"/>
        </w:rPr>
        <w:t xml:space="preserve"> </w:t>
      </w:r>
      <w:r w:rsidR="00C57097" w:rsidRPr="00535A4C">
        <w:rPr>
          <w:iCs/>
          <w:lang w:eastAsia="hr-HR"/>
        </w:rPr>
        <w:t>A History of Interest Rates</w:t>
      </w:r>
      <w:r w:rsidRPr="00535A4C">
        <w:rPr>
          <w:lang w:eastAsia="hr-HR"/>
        </w:rPr>
        <w:t>,</w:t>
      </w:r>
      <w:r w:rsidR="00A550F9" w:rsidRPr="00535A4C">
        <w:rPr>
          <w:lang w:eastAsia="hr-HR"/>
        </w:rPr>
        <w:t xml:space="preserve"> Wiley.</w:t>
      </w:r>
    </w:p>
    <w:p w14:paraId="3CF45C4C" w14:textId="77777777" w:rsidR="00C57097" w:rsidRPr="00535A4C" w:rsidRDefault="00C57097"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International In</w:t>
      </w:r>
      <w:r w:rsidR="00A550F9" w:rsidRPr="00535A4C">
        <w:rPr>
          <w:lang w:eastAsia="hr-HR"/>
        </w:rPr>
        <w:t>stitute of Social History (http://socialhistory.org, web page accessed 16.03.2013),</w:t>
      </w:r>
      <w:r w:rsidRPr="00535A4C">
        <w:rPr>
          <w:lang w:eastAsia="hr-HR"/>
        </w:rPr>
        <w:t xml:space="preserve"> International Institute of Social History. Royal Netherlands Academy of Arts and Sciences.</w:t>
      </w:r>
    </w:p>
    <w:p w14:paraId="0585997E" w14:textId="77777777" w:rsidR="00C57097" w:rsidRPr="00535A4C" w:rsidRDefault="00A550F9"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Jacobs, J., and</w:t>
      </w:r>
      <w:r w:rsidR="00C57097" w:rsidRPr="00535A4C">
        <w:rPr>
          <w:lang w:eastAsia="hr-HR"/>
        </w:rPr>
        <w:t xml:space="preserve"> Smit</w:t>
      </w:r>
      <w:r w:rsidRPr="00535A4C">
        <w:rPr>
          <w:lang w:eastAsia="hr-HR"/>
        </w:rPr>
        <w:t>s, J-P. (2001),</w:t>
      </w:r>
      <w:r w:rsidR="00C57097" w:rsidRPr="00535A4C">
        <w:rPr>
          <w:lang w:eastAsia="hr-HR"/>
        </w:rPr>
        <w:t xml:space="preserve"> </w:t>
      </w:r>
      <w:r w:rsidRPr="00535A4C">
        <w:rPr>
          <w:iCs/>
          <w:lang w:eastAsia="hr-HR"/>
        </w:rPr>
        <w:t>Business C</w:t>
      </w:r>
      <w:r w:rsidR="00C57097" w:rsidRPr="00535A4C">
        <w:rPr>
          <w:iCs/>
          <w:lang w:eastAsia="hr-HR"/>
        </w:rPr>
        <w:t>ycles in the Netherlands, 1815-1913</w:t>
      </w:r>
      <w:r w:rsidR="00C57097" w:rsidRPr="00535A4C">
        <w:rPr>
          <w:lang w:eastAsia="hr-HR"/>
        </w:rPr>
        <w:t>. University of Groningen.</w:t>
      </w:r>
    </w:p>
    <w:p w14:paraId="715E2DFE" w14:textId="77777777" w:rsidR="00C57097" w:rsidRPr="00535A4C" w:rsidRDefault="00A550F9"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Keynes, J. M. (1930),</w:t>
      </w:r>
      <w:r w:rsidR="00C57097" w:rsidRPr="00535A4C">
        <w:rPr>
          <w:lang w:eastAsia="hr-HR"/>
        </w:rPr>
        <w:t xml:space="preserve"> </w:t>
      </w:r>
      <w:r w:rsidR="00C57097" w:rsidRPr="00535A4C">
        <w:rPr>
          <w:iCs/>
          <w:lang w:eastAsia="hr-HR"/>
        </w:rPr>
        <w:t>A treatise on money</w:t>
      </w:r>
      <w:r w:rsidRPr="00535A4C">
        <w:rPr>
          <w:iCs/>
          <w:lang w:eastAsia="hr-HR"/>
        </w:rPr>
        <w:t>, reprinted in Martino Publishing, 2011</w:t>
      </w:r>
      <w:r w:rsidR="00C57097" w:rsidRPr="00535A4C">
        <w:rPr>
          <w:lang w:eastAsia="hr-HR"/>
        </w:rPr>
        <w:t>.</w:t>
      </w:r>
    </w:p>
    <w:p w14:paraId="45176475" w14:textId="77777777" w:rsidR="00C57097" w:rsidRPr="00535A4C" w:rsidRDefault="005A1D75"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Kočenda, E., (2001), 'An Alternative to the BDS Test: Integration Across the Correlation I</w:t>
      </w:r>
      <w:r w:rsidR="00C57097" w:rsidRPr="00535A4C">
        <w:rPr>
          <w:lang w:eastAsia="hr-HR"/>
        </w:rPr>
        <w:t>ntegral</w:t>
      </w:r>
      <w:r w:rsidR="00751FE2" w:rsidRPr="00535A4C">
        <w:rPr>
          <w:lang w:eastAsia="hr-HR"/>
        </w:rPr>
        <w:t>',</w:t>
      </w:r>
      <w:r w:rsidR="00C57097" w:rsidRPr="00535A4C">
        <w:rPr>
          <w:lang w:eastAsia="hr-HR"/>
        </w:rPr>
        <w:t xml:space="preserve"> </w:t>
      </w:r>
      <w:r w:rsidR="00C57097" w:rsidRPr="00535A4C">
        <w:rPr>
          <w:iCs/>
          <w:lang w:eastAsia="hr-HR"/>
        </w:rPr>
        <w:t>Econometric Reviews</w:t>
      </w:r>
      <w:r w:rsidR="00C57097" w:rsidRPr="00535A4C">
        <w:rPr>
          <w:lang w:eastAsia="hr-HR"/>
        </w:rPr>
        <w:t xml:space="preserve">, </w:t>
      </w:r>
      <w:r w:rsidR="00C57097" w:rsidRPr="00535A4C">
        <w:rPr>
          <w:iCs/>
          <w:lang w:eastAsia="hr-HR"/>
        </w:rPr>
        <w:t>20</w:t>
      </w:r>
      <w:r w:rsidR="00C57097" w:rsidRPr="00535A4C">
        <w:rPr>
          <w:lang w:eastAsia="hr-HR"/>
        </w:rPr>
        <w:t>(3), 337–351.</w:t>
      </w:r>
    </w:p>
    <w:p w14:paraId="2D75A7A9" w14:textId="77777777" w:rsidR="00C57097" w:rsidRPr="00535A4C" w:rsidRDefault="00751FE2"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Mariano, R. S., and Diebold, F. X. (1995),</w:t>
      </w:r>
      <w:r w:rsidR="00C57097" w:rsidRPr="00535A4C">
        <w:rPr>
          <w:lang w:eastAsia="hr-HR"/>
        </w:rPr>
        <w:t xml:space="preserve"> </w:t>
      </w:r>
      <w:r w:rsidRPr="00535A4C">
        <w:rPr>
          <w:lang w:eastAsia="hr-HR"/>
        </w:rPr>
        <w:t>'</w:t>
      </w:r>
      <w:r w:rsidR="00C57097" w:rsidRPr="00535A4C">
        <w:rPr>
          <w:lang w:eastAsia="hr-HR"/>
        </w:rPr>
        <w:t>Comparing Predictive Accuracy</w:t>
      </w:r>
      <w:r w:rsidRPr="00535A4C">
        <w:rPr>
          <w:lang w:eastAsia="hr-HR"/>
        </w:rPr>
        <w:t>'</w:t>
      </w:r>
      <w:r w:rsidR="00C57097" w:rsidRPr="00535A4C">
        <w:rPr>
          <w:lang w:eastAsia="hr-HR"/>
        </w:rPr>
        <w:t xml:space="preserve">. </w:t>
      </w:r>
      <w:r w:rsidR="00C57097" w:rsidRPr="00535A4C">
        <w:rPr>
          <w:iCs/>
          <w:lang w:eastAsia="hr-HR"/>
        </w:rPr>
        <w:t>Journal of Business &amp; Economic Statistics</w:t>
      </w:r>
      <w:r w:rsidR="00C57097" w:rsidRPr="00535A4C">
        <w:rPr>
          <w:lang w:eastAsia="hr-HR"/>
        </w:rPr>
        <w:t xml:space="preserve">, </w:t>
      </w:r>
      <w:r w:rsidR="00C57097" w:rsidRPr="00535A4C">
        <w:rPr>
          <w:iCs/>
          <w:lang w:eastAsia="hr-HR"/>
        </w:rPr>
        <w:t>13</w:t>
      </w:r>
      <w:r w:rsidR="00C57097" w:rsidRPr="00535A4C">
        <w:rPr>
          <w:lang w:eastAsia="hr-HR"/>
        </w:rPr>
        <w:t>, 253–265.</w:t>
      </w:r>
    </w:p>
    <w:p w14:paraId="15ADB8FE" w14:textId="77777777" w:rsidR="00C57097" w:rsidRPr="00535A4C" w:rsidRDefault="00751FE2"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 xml:space="preserve">Mises, von, L., and Greaves, B. B. </w:t>
      </w:r>
      <w:r w:rsidR="004E51CD" w:rsidRPr="00535A4C">
        <w:rPr>
          <w:lang w:eastAsia="hr-HR"/>
        </w:rPr>
        <w:t xml:space="preserve">editor </w:t>
      </w:r>
      <w:r w:rsidRPr="00535A4C">
        <w:rPr>
          <w:lang w:eastAsia="hr-HR"/>
        </w:rPr>
        <w:t>(2011),</w:t>
      </w:r>
      <w:r w:rsidR="00C57097" w:rsidRPr="00535A4C">
        <w:rPr>
          <w:lang w:eastAsia="hr-HR"/>
        </w:rPr>
        <w:t xml:space="preserve"> </w:t>
      </w:r>
      <w:r w:rsidR="004E51CD" w:rsidRPr="00535A4C">
        <w:rPr>
          <w:lang w:eastAsia="hr-HR"/>
        </w:rPr>
        <w:t xml:space="preserve">On the Manipulation of Money and Credit: Three Treatises on Trade-Cycle Theory, Liberty Fund Incorporated. </w:t>
      </w:r>
    </w:p>
    <w:p w14:paraId="449E9D66" w14:textId="77777777" w:rsidR="00C57097" w:rsidRPr="00535A4C" w:rsidRDefault="008D57F4" w:rsidP="008D5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i/>
          <w:iCs/>
          <w:lang w:eastAsia="hr-HR"/>
        </w:rPr>
      </w:pPr>
      <w:r w:rsidRPr="00535A4C">
        <w:rPr>
          <w:lang w:eastAsia="hr-HR"/>
        </w:rPr>
        <w:t>Netherland, S. (2010),</w:t>
      </w:r>
      <w:r w:rsidR="00C57097" w:rsidRPr="00535A4C">
        <w:rPr>
          <w:lang w:eastAsia="hr-HR"/>
        </w:rPr>
        <w:t xml:space="preserve"> </w:t>
      </w:r>
      <w:r w:rsidR="00C57097" w:rsidRPr="00535A4C">
        <w:rPr>
          <w:i/>
          <w:iCs/>
          <w:lang w:eastAsia="hr-HR"/>
        </w:rPr>
        <w:t>111 Jaar statistiek in tijdreeksen, 1899–2010</w:t>
      </w:r>
      <w:r w:rsidRPr="00535A4C">
        <w:rPr>
          <w:i/>
          <w:iCs/>
          <w:lang w:eastAsia="hr-HR"/>
        </w:rPr>
        <w:t xml:space="preserve">, </w:t>
      </w:r>
      <w:r w:rsidR="00C57097" w:rsidRPr="00535A4C">
        <w:rPr>
          <w:i/>
          <w:iCs/>
          <w:lang w:eastAsia="hr-HR"/>
        </w:rPr>
        <w:t>cbs.nl</w:t>
      </w:r>
      <w:r w:rsidRPr="00535A4C">
        <w:rPr>
          <w:lang w:eastAsia="hr-HR"/>
        </w:rPr>
        <w:t>. Roterdam,</w:t>
      </w:r>
      <w:r w:rsidR="00C57097" w:rsidRPr="00535A4C">
        <w:rPr>
          <w:lang w:eastAsia="hr-HR"/>
        </w:rPr>
        <w:t xml:space="preserve"> Central Bureau of Statistics, The Netherlands.</w:t>
      </w:r>
    </w:p>
    <w:p w14:paraId="14092394" w14:textId="77777777" w:rsidR="00C57097" w:rsidRPr="00535A4C" w:rsidRDefault="008D57F4" w:rsidP="008D5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i/>
          <w:iCs/>
          <w:lang w:eastAsia="hr-HR"/>
        </w:rPr>
      </w:pPr>
      <w:r w:rsidRPr="00535A4C">
        <w:rPr>
          <w:lang w:eastAsia="hr-HR"/>
        </w:rPr>
        <w:lastRenderedPageBreak/>
        <w:t>Netherland, S. (2012),</w:t>
      </w:r>
      <w:r w:rsidR="00C57097" w:rsidRPr="00535A4C">
        <w:rPr>
          <w:lang w:eastAsia="hr-HR"/>
        </w:rPr>
        <w:t xml:space="preserve"> </w:t>
      </w:r>
      <w:r w:rsidR="00C57097" w:rsidRPr="00535A4C">
        <w:rPr>
          <w:i/>
          <w:iCs/>
          <w:lang w:eastAsia="hr-HR"/>
        </w:rPr>
        <w:t>National accounts of the Netherlands 2011</w:t>
      </w:r>
      <w:r w:rsidRPr="00535A4C">
        <w:rPr>
          <w:i/>
          <w:iCs/>
          <w:lang w:eastAsia="hr-HR"/>
        </w:rPr>
        <w:t xml:space="preserve">, </w:t>
      </w:r>
      <w:r w:rsidR="00C57097" w:rsidRPr="00535A4C">
        <w:rPr>
          <w:i/>
          <w:iCs/>
          <w:lang w:eastAsia="hr-HR"/>
        </w:rPr>
        <w:t>cbs.nl</w:t>
      </w:r>
      <w:r w:rsidR="00C57097" w:rsidRPr="00535A4C">
        <w:rPr>
          <w:lang w:eastAsia="hr-HR"/>
        </w:rPr>
        <w:t>. The Hague/Heerlen: Statistics Netherlands.</w:t>
      </w:r>
    </w:p>
    <w:p w14:paraId="3DA6B038" w14:textId="77777777" w:rsidR="00C57097" w:rsidRPr="00535A4C" w:rsidRDefault="008D57F4"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 xml:space="preserve">Officer, L. H., and Williamson, S. H. </w:t>
      </w:r>
      <w:r w:rsidR="00C57097" w:rsidRPr="00535A4C">
        <w:rPr>
          <w:lang w:eastAsia="hr-HR"/>
        </w:rPr>
        <w:t xml:space="preserve">Measuring Worth. </w:t>
      </w:r>
      <w:r w:rsidR="00C57097" w:rsidRPr="00535A4C">
        <w:rPr>
          <w:i/>
          <w:iCs/>
          <w:lang w:eastAsia="hr-HR"/>
        </w:rPr>
        <w:t>measuringworth.com</w:t>
      </w:r>
      <w:r w:rsidR="00C57097" w:rsidRPr="00535A4C">
        <w:rPr>
          <w:lang w:eastAsia="hr-HR"/>
        </w:rPr>
        <w:t>. Measuring Worth</w:t>
      </w:r>
      <w:r w:rsidRPr="00535A4C">
        <w:rPr>
          <w:lang w:eastAsia="hr-HR"/>
        </w:rPr>
        <w:t>, web page accessed 16.03.2013</w:t>
      </w:r>
      <w:r w:rsidR="00C57097" w:rsidRPr="00535A4C">
        <w:rPr>
          <w:lang w:eastAsia="hr-HR"/>
        </w:rPr>
        <w:t>.</w:t>
      </w:r>
    </w:p>
    <w:p w14:paraId="3EC32AD0" w14:textId="77777777" w:rsidR="00C57097" w:rsidRPr="00535A4C" w:rsidRDefault="008D57F4"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Priestley, M. B. (1981), Spectral Analysis and Time Series, Elsevier Academic Press.</w:t>
      </w:r>
    </w:p>
    <w:p w14:paraId="604E3890" w14:textId="77777777" w:rsidR="00C57097" w:rsidRPr="00535A4C" w:rsidRDefault="00C57097"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 xml:space="preserve">Ram, R. </w:t>
      </w:r>
      <w:r w:rsidR="008D57F4" w:rsidRPr="00535A4C">
        <w:rPr>
          <w:lang w:eastAsia="hr-HR"/>
        </w:rPr>
        <w:t>(1987),</w:t>
      </w:r>
      <w:r w:rsidRPr="00535A4C">
        <w:rPr>
          <w:lang w:eastAsia="hr-HR"/>
        </w:rPr>
        <w:t xml:space="preserve"> </w:t>
      </w:r>
      <w:r w:rsidR="008D57F4" w:rsidRPr="00535A4C">
        <w:rPr>
          <w:lang w:eastAsia="hr-HR"/>
        </w:rPr>
        <w:t>'</w:t>
      </w:r>
      <w:r w:rsidRPr="00535A4C">
        <w:rPr>
          <w:lang w:eastAsia="hr-HR"/>
        </w:rPr>
        <w:t xml:space="preserve">A broader multicountry perspective on the Gibson </w:t>
      </w:r>
      <w:r w:rsidR="008D57F4" w:rsidRPr="00535A4C">
        <w:rPr>
          <w:lang w:eastAsia="hr-HR"/>
        </w:rPr>
        <w:t>paradox and fisher's hypothesis',</w:t>
      </w:r>
      <w:r w:rsidRPr="00535A4C">
        <w:rPr>
          <w:lang w:eastAsia="hr-HR"/>
        </w:rPr>
        <w:t xml:space="preserve"> </w:t>
      </w:r>
      <w:r w:rsidRPr="00535A4C">
        <w:rPr>
          <w:iCs/>
          <w:lang w:eastAsia="hr-HR"/>
        </w:rPr>
        <w:t>De Economist</w:t>
      </w:r>
      <w:r w:rsidRPr="00535A4C">
        <w:rPr>
          <w:lang w:eastAsia="hr-HR"/>
        </w:rPr>
        <w:t xml:space="preserve">, </w:t>
      </w:r>
      <w:r w:rsidRPr="00535A4C">
        <w:rPr>
          <w:iCs/>
          <w:lang w:eastAsia="hr-HR"/>
        </w:rPr>
        <w:t>135</w:t>
      </w:r>
      <w:r w:rsidRPr="00535A4C">
        <w:rPr>
          <w:lang w:eastAsia="hr-HR"/>
        </w:rPr>
        <w:t>(2), 219–230.</w:t>
      </w:r>
    </w:p>
    <w:p w14:paraId="33DCE5B3" w14:textId="77777777" w:rsidR="00C57097" w:rsidRPr="00535A4C" w:rsidRDefault="008D57F4"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Shiller, R. J., and Siegel, J. J. (1977),</w:t>
      </w:r>
      <w:r w:rsidR="00C57097" w:rsidRPr="00535A4C">
        <w:rPr>
          <w:lang w:eastAsia="hr-HR"/>
        </w:rPr>
        <w:t xml:space="preserve"> </w:t>
      </w:r>
      <w:r w:rsidRPr="00535A4C">
        <w:rPr>
          <w:lang w:eastAsia="hr-HR"/>
        </w:rPr>
        <w:t>'</w:t>
      </w:r>
      <w:r w:rsidR="00C57097" w:rsidRPr="00535A4C">
        <w:rPr>
          <w:lang w:eastAsia="hr-HR"/>
        </w:rPr>
        <w:t>The Gibson paradox and historical movements in real interest rates</w:t>
      </w:r>
      <w:r w:rsidRPr="00535A4C">
        <w:rPr>
          <w:lang w:eastAsia="hr-HR"/>
        </w:rPr>
        <w:t>',</w:t>
      </w:r>
      <w:r w:rsidR="00C57097" w:rsidRPr="00535A4C">
        <w:rPr>
          <w:lang w:eastAsia="hr-HR"/>
        </w:rPr>
        <w:t xml:space="preserve"> </w:t>
      </w:r>
      <w:r w:rsidR="00C57097" w:rsidRPr="00535A4C">
        <w:rPr>
          <w:iCs/>
          <w:lang w:eastAsia="hr-HR"/>
        </w:rPr>
        <w:t>The Journal of Political Economy</w:t>
      </w:r>
      <w:r w:rsidR="00C57097" w:rsidRPr="00535A4C">
        <w:rPr>
          <w:lang w:eastAsia="hr-HR"/>
        </w:rPr>
        <w:t>, 891–907.</w:t>
      </w:r>
    </w:p>
    <w:p w14:paraId="3C64C165" w14:textId="77777777" w:rsidR="00C57097" w:rsidRPr="00535A4C" w:rsidRDefault="00C57097"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 xml:space="preserve">Smits, J.-P., Horlings, E., </w:t>
      </w:r>
      <w:r w:rsidR="008D57F4" w:rsidRPr="00535A4C">
        <w:rPr>
          <w:lang w:eastAsia="hr-HR"/>
        </w:rPr>
        <w:t>and Van Zanden, J. L. (2000),</w:t>
      </w:r>
      <w:r w:rsidRPr="00535A4C">
        <w:rPr>
          <w:lang w:eastAsia="hr-HR"/>
        </w:rPr>
        <w:t xml:space="preserve"> </w:t>
      </w:r>
      <w:r w:rsidRPr="00535A4C">
        <w:rPr>
          <w:iCs/>
          <w:lang w:eastAsia="hr-HR"/>
        </w:rPr>
        <w:t>Dutch GNP and its components, 1800-1913</w:t>
      </w:r>
      <w:r w:rsidRPr="00535A4C">
        <w:rPr>
          <w:lang w:eastAsia="hr-HR"/>
        </w:rPr>
        <w:t>. Groningen Growth and Development Centre.</w:t>
      </w:r>
    </w:p>
    <w:p w14:paraId="005C1078" w14:textId="77777777" w:rsidR="00C57097" w:rsidRPr="00535A4C" w:rsidRDefault="008D57F4"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iCs/>
          <w:lang w:eastAsia="hr-HR"/>
        </w:rPr>
      </w:pPr>
      <w:r w:rsidRPr="00535A4C">
        <w:rPr>
          <w:lang w:eastAsia="hr-HR"/>
        </w:rPr>
        <w:t>van Bochove, C. A., and Huitker, T. A. (1987</w:t>
      </w:r>
      <w:r w:rsidR="00C57097" w:rsidRPr="00535A4C">
        <w:rPr>
          <w:lang w:eastAsia="hr-HR"/>
        </w:rPr>
        <w:t xml:space="preserve">). </w:t>
      </w:r>
      <w:r w:rsidRPr="00535A4C">
        <w:rPr>
          <w:iCs/>
          <w:lang w:eastAsia="hr-HR"/>
        </w:rPr>
        <w:t>Main National Accounting Series</w:t>
      </w:r>
      <w:r w:rsidRPr="00535A4C">
        <w:rPr>
          <w:i/>
          <w:iCs/>
          <w:lang w:eastAsia="hr-HR"/>
        </w:rPr>
        <w:t>,</w:t>
      </w:r>
      <w:r w:rsidR="00C57097" w:rsidRPr="00535A4C">
        <w:rPr>
          <w:i/>
          <w:iCs/>
          <w:lang w:eastAsia="hr-HR"/>
        </w:rPr>
        <w:t xml:space="preserve"> </w:t>
      </w:r>
      <w:r w:rsidR="00C57097" w:rsidRPr="00535A4C">
        <w:rPr>
          <w:iCs/>
          <w:lang w:eastAsia="hr-HR"/>
        </w:rPr>
        <w:t>1900-1986</w:t>
      </w:r>
    </w:p>
    <w:p w14:paraId="66F077B9" w14:textId="77777777" w:rsidR="00C57097" w:rsidRPr="00535A4C" w:rsidRDefault="00C57097"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535A4C">
        <w:rPr>
          <w:lang w:eastAsia="hr-HR"/>
        </w:rPr>
        <w:t xml:space="preserve">. </w:t>
      </w:r>
      <w:r w:rsidRPr="00535A4C">
        <w:rPr>
          <w:iCs/>
          <w:lang w:eastAsia="hr-HR"/>
        </w:rPr>
        <w:t>cbs.nl</w:t>
      </w:r>
      <w:r w:rsidRPr="00535A4C">
        <w:rPr>
          <w:lang w:eastAsia="hr-HR"/>
        </w:rPr>
        <w:t>. Central Bureau of Statistics, The Netherlands.</w:t>
      </w:r>
    </w:p>
    <w:p w14:paraId="322DF3E3" w14:textId="77777777" w:rsidR="00C57097" w:rsidRPr="00535A4C" w:rsidRDefault="00C57097"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7B26A3">
        <w:rPr>
          <w:lang w:val="de-DE" w:eastAsia="hr-HR"/>
        </w:rPr>
        <w:t xml:space="preserve">van den End, J. W. (2011). </w:t>
      </w:r>
      <w:r w:rsidRPr="00535A4C">
        <w:rPr>
          <w:iCs/>
          <w:lang w:eastAsia="hr-HR"/>
        </w:rPr>
        <w:t>Statistical evidence on the mean reversion of interest rates</w:t>
      </w:r>
      <w:r w:rsidRPr="00535A4C">
        <w:rPr>
          <w:lang w:eastAsia="hr-HR"/>
        </w:rPr>
        <w:t>. Netherlands Central Bank, Research Department.</w:t>
      </w:r>
    </w:p>
    <w:p w14:paraId="27F2211C" w14:textId="77777777" w:rsidR="00C57097" w:rsidRPr="007B26A3" w:rsidRDefault="008D57F4"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val="de-DE" w:eastAsia="hr-HR"/>
        </w:rPr>
      </w:pPr>
      <w:r w:rsidRPr="00535A4C">
        <w:rPr>
          <w:lang w:eastAsia="hr-HR"/>
        </w:rPr>
        <w:t>Warner, R. M. (1998),</w:t>
      </w:r>
      <w:r w:rsidR="00C57097" w:rsidRPr="00535A4C">
        <w:rPr>
          <w:lang w:eastAsia="hr-HR"/>
        </w:rPr>
        <w:t xml:space="preserve"> </w:t>
      </w:r>
      <w:r w:rsidR="00C57097" w:rsidRPr="00535A4C">
        <w:rPr>
          <w:iCs/>
          <w:lang w:eastAsia="hr-HR"/>
        </w:rPr>
        <w:t>Spectral Analysis of Time-Series Data</w:t>
      </w:r>
      <w:r w:rsidR="00C57097" w:rsidRPr="00535A4C">
        <w:rPr>
          <w:lang w:eastAsia="hr-HR"/>
        </w:rPr>
        <w:t xml:space="preserve">. </w:t>
      </w:r>
      <w:r w:rsidR="00C57097" w:rsidRPr="007B26A3">
        <w:rPr>
          <w:lang w:val="de-DE" w:eastAsia="hr-HR"/>
        </w:rPr>
        <w:t>Guilford Press.</w:t>
      </w:r>
    </w:p>
    <w:p w14:paraId="0EECFA41" w14:textId="77777777" w:rsidR="00C57097" w:rsidRPr="007B26A3" w:rsidRDefault="008D57F4"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val="de-DE" w:eastAsia="hr-HR"/>
        </w:rPr>
      </w:pPr>
      <w:r w:rsidRPr="007B26A3">
        <w:rPr>
          <w:lang w:val="de-DE" w:eastAsia="hr-HR"/>
        </w:rPr>
        <w:t>Zanden, V. J., and Lindblad, J. T. (1989),</w:t>
      </w:r>
      <w:r w:rsidR="00C57097" w:rsidRPr="007B26A3">
        <w:rPr>
          <w:lang w:val="de-DE" w:eastAsia="hr-HR"/>
        </w:rPr>
        <w:t xml:space="preserve"> De buitenlandse handel van Nederland, 1872-1913. </w:t>
      </w:r>
      <w:r w:rsidR="00C57097" w:rsidRPr="007B26A3">
        <w:rPr>
          <w:i/>
          <w:iCs/>
          <w:lang w:val="de-DE" w:eastAsia="hr-HR"/>
        </w:rPr>
        <w:t>Economisch-en sociaal-historisch jaarboek</w:t>
      </w:r>
      <w:r w:rsidR="00C57097" w:rsidRPr="007B26A3">
        <w:rPr>
          <w:lang w:val="de-DE" w:eastAsia="hr-HR"/>
        </w:rPr>
        <w:t xml:space="preserve">, </w:t>
      </w:r>
      <w:r w:rsidR="00C57097" w:rsidRPr="007B26A3">
        <w:rPr>
          <w:i/>
          <w:iCs/>
          <w:lang w:val="de-DE" w:eastAsia="hr-HR"/>
        </w:rPr>
        <w:t>52</w:t>
      </w:r>
      <w:r w:rsidR="00C57097" w:rsidRPr="007B26A3">
        <w:rPr>
          <w:lang w:val="de-DE" w:eastAsia="hr-HR"/>
        </w:rPr>
        <w:t>, 231–269.</w:t>
      </w:r>
    </w:p>
    <w:p w14:paraId="3449433D" w14:textId="77777777" w:rsidR="00C57097" w:rsidRPr="00535A4C" w:rsidRDefault="00C57097"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lang w:eastAsia="hr-HR"/>
        </w:rPr>
      </w:pPr>
      <w:r w:rsidRPr="007B26A3">
        <w:rPr>
          <w:lang w:val="de-DE" w:eastAsia="hr-HR"/>
        </w:rPr>
        <w:t>Zand</w:t>
      </w:r>
      <w:r w:rsidR="008D57F4" w:rsidRPr="007B26A3">
        <w:rPr>
          <w:lang w:val="de-DE" w:eastAsia="hr-HR"/>
        </w:rPr>
        <w:t>en, V. J., and Riel, A. V. (2000),</w:t>
      </w:r>
      <w:r w:rsidRPr="007B26A3">
        <w:rPr>
          <w:lang w:val="de-DE" w:eastAsia="hr-HR"/>
        </w:rPr>
        <w:t xml:space="preserve"> Nederland 1780-1914. </w:t>
      </w:r>
      <w:r w:rsidRPr="00535A4C">
        <w:rPr>
          <w:lang w:eastAsia="hr-HR"/>
        </w:rPr>
        <w:t>Staat, institut</w:t>
      </w:r>
      <w:r w:rsidR="008D57F4" w:rsidRPr="00535A4C">
        <w:rPr>
          <w:lang w:eastAsia="hr-HR"/>
        </w:rPr>
        <w:t xml:space="preserve">ies en economische ontwikkeling, Balans. </w:t>
      </w:r>
    </w:p>
    <w:p w14:paraId="79A55AC4" w14:textId="77777777" w:rsidR="00C57097" w:rsidRPr="00535A4C" w:rsidRDefault="00AB6A88"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pPr>
      <w:r w:rsidRPr="00535A4C">
        <w:fldChar w:fldCharType="end"/>
      </w:r>
      <w:r w:rsidRPr="00535A4C">
        <w:t xml:space="preserve"> </w:t>
      </w:r>
    </w:p>
    <w:p w14:paraId="579808B6" w14:textId="77777777" w:rsidR="00AB6A88" w:rsidRPr="00535A4C" w:rsidRDefault="00AB6A88"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pPr>
      <w:r w:rsidRPr="00535A4C">
        <w:t>Appendix</w:t>
      </w:r>
    </w:p>
    <w:p w14:paraId="7E932387" w14:textId="77777777" w:rsidR="00C57097" w:rsidRPr="00535A4C" w:rsidRDefault="00C57097" w:rsidP="00C57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pPr>
    </w:p>
    <w:p w14:paraId="6DC6E415" w14:textId="77777777" w:rsidR="00AB6A88" w:rsidRPr="00535A4C" w:rsidRDefault="00AB6A88" w:rsidP="00E8204B">
      <w:pPr>
        <w:pStyle w:val="BodyText"/>
        <w:ind w:firstLine="0"/>
        <w:jc w:val="both"/>
        <w:rPr>
          <w:sz w:val="22"/>
          <w:szCs w:val="22"/>
          <w:lang w:val="en-GB"/>
        </w:rPr>
      </w:pPr>
      <w:r w:rsidRPr="00535A4C">
        <w:rPr>
          <w:lang w:val="en-GB"/>
        </w:rPr>
        <w:t>Table A1</w:t>
      </w:r>
      <w:r w:rsidR="00ED3835" w:rsidRPr="00535A4C">
        <w:rPr>
          <w:lang w:val="en-GB"/>
        </w:rPr>
        <w:t xml:space="preserve"> </w:t>
      </w:r>
      <w:r w:rsidRPr="00535A4C">
        <w:rPr>
          <w:i/>
          <w:sz w:val="22"/>
          <w:szCs w:val="22"/>
          <w:lang w:val="en-GB"/>
        </w:rPr>
        <w:t>Time Series Data List and Model Variables Description</w:t>
      </w:r>
    </w:p>
    <w:tbl>
      <w:tblPr>
        <w:tblW w:w="0" w:type="auto"/>
        <w:tblBorders>
          <w:top w:val="single" w:sz="4" w:space="0" w:color="auto"/>
          <w:bottom w:val="single" w:sz="4" w:space="0" w:color="auto"/>
        </w:tblBorders>
        <w:tblCellMar>
          <w:left w:w="0" w:type="dxa"/>
          <w:right w:w="0" w:type="dxa"/>
        </w:tblCellMar>
        <w:tblLook w:val="00A0" w:firstRow="1" w:lastRow="0" w:firstColumn="1" w:lastColumn="0" w:noHBand="0" w:noVBand="0"/>
      </w:tblPr>
      <w:tblGrid>
        <w:gridCol w:w="1667"/>
        <w:gridCol w:w="1239"/>
        <w:gridCol w:w="6114"/>
      </w:tblGrid>
      <w:tr w:rsidR="00AB6A88" w:rsidRPr="00535A4C" w14:paraId="2AB78DC4" w14:textId="77777777" w:rsidTr="00ED3835">
        <w:tc>
          <w:tcPr>
            <w:tcW w:w="1667" w:type="dxa"/>
            <w:tcBorders>
              <w:top w:val="single" w:sz="4" w:space="0" w:color="auto"/>
              <w:left w:val="nil"/>
              <w:bottom w:val="single" w:sz="4" w:space="0" w:color="auto"/>
              <w:right w:val="nil"/>
            </w:tcBorders>
            <w:vAlign w:val="center"/>
          </w:tcPr>
          <w:p w14:paraId="0228E528"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Time Series ID</w:t>
            </w:r>
          </w:p>
        </w:tc>
        <w:tc>
          <w:tcPr>
            <w:tcW w:w="1239" w:type="dxa"/>
            <w:tcBorders>
              <w:top w:val="single" w:sz="4" w:space="0" w:color="auto"/>
              <w:left w:val="nil"/>
              <w:bottom w:val="single" w:sz="4" w:space="0" w:color="auto"/>
              <w:right w:val="nil"/>
            </w:tcBorders>
            <w:vAlign w:val="center"/>
          </w:tcPr>
          <w:p w14:paraId="75EBD5D1"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Sample</w:t>
            </w:r>
          </w:p>
        </w:tc>
        <w:tc>
          <w:tcPr>
            <w:tcW w:w="6114" w:type="dxa"/>
            <w:tcBorders>
              <w:top w:val="single" w:sz="4" w:space="0" w:color="auto"/>
              <w:left w:val="nil"/>
              <w:bottom w:val="single" w:sz="4" w:space="0" w:color="auto"/>
              <w:right w:val="nil"/>
            </w:tcBorders>
            <w:vAlign w:val="center"/>
          </w:tcPr>
          <w:p w14:paraId="7376AC29"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Variable description</w:t>
            </w:r>
          </w:p>
        </w:tc>
      </w:tr>
      <w:tr w:rsidR="00AB6A88" w:rsidRPr="00535A4C" w14:paraId="3EE3262F" w14:textId="77777777" w:rsidTr="00ED3835">
        <w:tc>
          <w:tcPr>
            <w:tcW w:w="1667" w:type="dxa"/>
          </w:tcPr>
          <w:p w14:paraId="5EC66F31"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LR</w:t>
            </w:r>
          </w:p>
        </w:tc>
        <w:tc>
          <w:tcPr>
            <w:tcW w:w="1239" w:type="dxa"/>
          </w:tcPr>
          <w:p w14:paraId="7DA4A694"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1800-2012</w:t>
            </w:r>
          </w:p>
        </w:tc>
        <w:tc>
          <w:tcPr>
            <w:tcW w:w="6114" w:type="dxa"/>
          </w:tcPr>
          <w:p w14:paraId="30977EAB"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 xml:space="preserve">Long-term interest rate yield on </w:t>
            </w:r>
            <w:proofErr w:type="spellStart"/>
            <w:r w:rsidRPr="00535A4C">
              <w:rPr>
                <w:rFonts w:ascii="Cambria" w:eastAsia="MS ??" w:hAnsi="Cambria"/>
                <w:lang w:eastAsia="ja-JP"/>
              </w:rPr>
              <w:t>Consols</w:t>
            </w:r>
            <w:proofErr w:type="spellEnd"/>
            <w:r w:rsidRPr="00535A4C">
              <w:rPr>
                <w:rFonts w:ascii="Cambria" w:eastAsia="MS ??" w:hAnsi="Cambria"/>
                <w:lang w:eastAsia="ja-JP"/>
              </w:rPr>
              <w:t xml:space="preserve"> (government bonds) in %</w:t>
            </w:r>
          </w:p>
        </w:tc>
      </w:tr>
      <w:tr w:rsidR="00AB6A88" w:rsidRPr="00535A4C" w14:paraId="0836199A" w14:textId="77777777" w:rsidTr="00ED3835">
        <w:tc>
          <w:tcPr>
            <w:tcW w:w="1667" w:type="dxa"/>
          </w:tcPr>
          <w:p w14:paraId="2B3CBE87"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CPI</w:t>
            </w:r>
          </w:p>
        </w:tc>
        <w:tc>
          <w:tcPr>
            <w:tcW w:w="1239" w:type="dxa"/>
          </w:tcPr>
          <w:p w14:paraId="546618A2"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1800-2012</w:t>
            </w:r>
          </w:p>
        </w:tc>
        <w:tc>
          <w:tcPr>
            <w:tcW w:w="6114" w:type="dxa"/>
          </w:tcPr>
          <w:p w14:paraId="6BCBE5A7"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Consumer prices index 1995=100</w:t>
            </w:r>
          </w:p>
        </w:tc>
      </w:tr>
      <w:tr w:rsidR="00AB6A88" w:rsidRPr="00535A4C" w14:paraId="05EB13E4" w14:textId="77777777" w:rsidTr="00ED3835">
        <w:tc>
          <w:tcPr>
            <w:tcW w:w="1667" w:type="dxa"/>
          </w:tcPr>
          <w:p w14:paraId="1E80EC02" w14:textId="77777777" w:rsidR="00AB6A88" w:rsidRPr="00535A4C" w:rsidRDefault="00ED3835" w:rsidP="00E8204B">
            <w:pPr>
              <w:pStyle w:val="TableBody"/>
              <w:jc w:val="both"/>
              <w:rPr>
                <w:rFonts w:ascii="Cambria" w:eastAsia="MS ??" w:hAnsi="Cambria"/>
                <w:lang w:eastAsia="ja-JP"/>
              </w:rPr>
            </w:pPr>
            <w:r w:rsidRPr="00535A4C">
              <w:rPr>
                <w:rFonts w:ascii="Cambria" w:eastAsia="MS ??" w:hAnsi="Cambria"/>
                <w:lang w:eastAsia="ja-JP"/>
              </w:rPr>
              <w:t>EXP</w:t>
            </w:r>
            <w:r w:rsidR="00AB6A88" w:rsidRPr="00535A4C">
              <w:rPr>
                <w:rFonts w:ascii="Cambria" w:eastAsia="MS ??" w:hAnsi="Cambria"/>
                <w:lang w:eastAsia="ja-JP"/>
              </w:rPr>
              <w:t>STIR</w:t>
            </w:r>
          </w:p>
        </w:tc>
        <w:tc>
          <w:tcPr>
            <w:tcW w:w="1239" w:type="dxa"/>
          </w:tcPr>
          <w:p w14:paraId="52EAD201"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1800-2012</w:t>
            </w:r>
          </w:p>
        </w:tc>
        <w:tc>
          <w:tcPr>
            <w:tcW w:w="6114" w:type="dxa"/>
          </w:tcPr>
          <w:p w14:paraId="158762EE" w14:textId="77777777" w:rsidR="00AB6A88" w:rsidRPr="00535A4C" w:rsidRDefault="00463F3D" w:rsidP="00463F3D">
            <w:pPr>
              <w:pStyle w:val="TableBody"/>
              <w:jc w:val="both"/>
              <w:rPr>
                <w:rFonts w:ascii="Cambria" w:eastAsia="MS ??" w:hAnsi="Cambria"/>
                <w:lang w:eastAsia="ja-JP"/>
              </w:rPr>
            </w:pPr>
            <w:r w:rsidRPr="00535A4C">
              <w:rPr>
                <w:rFonts w:ascii="Cambria" w:eastAsia="MS ??" w:hAnsi="Cambria"/>
                <w:lang w:eastAsia="ja-JP"/>
              </w:rPr>
              <w:t xml:space="preserve">Expected </w:t>
            </w:r>
            <w:r w:rsidR="00AB6A88" w:rsidRPr="00535A4C">
              <w:rPr>
                <w:rFonts w:ascii="Cambria" w:eastAsia="MS ??" w:hAnsi="Cambria"/>
                <w:lang w:eastAsia="ja-JP"/>
              </w:rPr>
              <w:t>Short-term interest rate on capital market in %</w:t>
            </w:r>
            <w:r w:rsidRPr="00535A4C">
              <w:rPr>
                <w:rFonts w:ascii="Cambria" w:eastAsia="MS ??" w:hAnsi="Cambria"/>
                <w:lang w:eastAsia="ja-JP"/>
              </w:rPr>
              <w:t xml:space="preserve"> measured using </w:t>
            </w:r>
            <w:proofErr w:type="spellStart"/>
            <w:r w:rsidRPr="00535A4C">
              <w:rPr>
                <w:rFonts w:ascii="Cambria" w:eastAsia="MS ??" w:hAnsi="Cambria"/>
                <w:lang w:eastAsia="ja-JP"/>
              </w:rPr>
              <w:t>univariate</w:t>
            </w:r>
            <w:proofErr w:type="spellEnd"/>
            <w:r w:rsidRPr="00535A4C">
              <w:rPr>
                <w:rFonts w:ascii="Cambria" w:eastAsia="MS ??" w:hAnsi="Cambria"/>
                <w:lang w:eastAsia="ja-JP"/>
              </w:rPr>
              <w:t xml:space="preserve"> unobserved component filter</w:t>
            </w:r>
          </w:p>
        </w:tc>
      </w:tr>
      <w:tr w:rsidR="00AB6A88" w:rsidRPr="00535A4C" w14:paraId="1D441646" w14:textId="77777777" w:rsidTr="00ED3835">
        <w:tc>
          <w:tcPr>
            <w:tcW w:w="1667" w:type="dxa"/>
          </w:tcPr>
          <w:p w14:paraId="2666B39F"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DEBT</w:t>
            </w:r>
          </w:p>
        </w:tc>
        <w:tc>
          <w:tcPr>
            <w:tcW w:w="1239" w:type="dxa"/>
          </w:tcPr>
          <w:p w14:paraId="4D05B187"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1800-2012</w:t>
            </w:r>
          </w:p>
        </w:tc>
        <w:tc>
          <w:tcPr>
            <w:tcW w:w="6114" w:type="dxa"/>
          </w:tcPr>
          <w:p w14:paraId="6E786EEB"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Total debt/</w:t>
            </w:r>
            <w:r w:rsidR="000224E0" w:rsidRPr="00535A4C">
              <w:rPr>
                <w:rFonts w:ascii="Cambria" w:eastAsia="MS ??" w:hAnsi="Cambria"/>
                <w:lang w:eastAsia="ja-JP"/>
              </w:rPr>
              <w:t>GDP</w:t>
            </w:r>
            <w:r w:rsidRPr="00535A4C">
              <w:rPr>
                <w:rFonts w:ascii="Cambria" w:eastAsia="MS ??" w:hAnsi="Cambria"/>
                <w:lang w:eastAsia="ja-JP"/>
              </w:rPr>
              <w:t xml:space="preserve"> ratio</w:t>
            </w:r>
          </w:p>
        </w:tc>
      </w:tr>
      <w:tr w:rsidR="00AB6A88" w:rsidRPr="00535A4C" w14:paraId="29CE04F4" w14:textId="77777777" w:rsidTr="00ED3835">
        <w:tc>
          <w:tcPr>
            <w:tcW w:w="1667" w:type="dxa"/>
          </w:tcPr>
          <w:p w14:paraId="58173A4B"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EXP3</w:t>
            </w:r>
          </w:p>
        </w:tc>
        <w:tc>
          <w:tcPr>
            <w:tcW w:w="1239" w:type="dxa"/>
          </w:tcPr>
          <w:p w14:paraId="0E24384D"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1800-2012</w:t>
            </w:r>
          </w:p>
        </w:tc>
        <w:tc>
          <w:tcPr>
            <w:tcW w:w="6114" w:type="dxa"/>
          </w:tcPr>
          <w:p w14:paraId="1E90886A"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 xml:space="preserve">Expected inflation calculated as in </w:t>
            </w:r>
            <w:r w:rsidRPr="00535A4C">
              <w:rPr>
                <w:rFonts w:ascii="Cambria" w:eastAsia="MS ??" w:hAnsi="Cambria"/>
                <w:lang w:eastAsia="ja-JP"/>
              </w:rPr>
              <w:fldChar w:fldCharType="begin"/>
            </w:r>
            <w:r w:rsidR="00C57097" w:rsidRPr="00535A4C">
              <w:rPr>
                <w:rFonts w:ascii="Cambria" w:eastAsia="MS ??" w:hAnsi="Cambria"/>
                <w:lang w:eastAsia="ja-JP"/>
              </w:rPr>
              <w:instrText xml:space="preserve"> ADDIN PAPERS2_CITATIONS &lt;citation&gt;&lt;uuid&gt;EDD9304B-A54F-4B02-B59D-AF6A306B20A7&lt;/uuid&gt;&lt;priority&gt;64&lt;/priority&gt;&lt;publications&gt;&lt;publication&gt;&lt;volume&gt;19&lt;/volume&gt;&lt;number&gt;1&lt;/number&gt;&lt;startpage&gt;3&lt;/startpage&gt;&lt;title&gt;The Fisher hypothesis and the forecastability and persistence of inflation&lt;/title&gt;&lt;uuid&gt;BE8D6C21-F9C1-4470-A473-3F8181AB84AD&lt;/uuid&gt;&lt;subtype&gt;400&lt;/subtype&gt;&lt;publisher&gt;Elsevier&lt;/publisher&gt;&lt;type&gt;400&lt;/type&gt;&lt;endpage&gt;24&lt;/endpage&gt;&lt;publication_date&gt;99198700001200000000200000&lt;/publication_date&gt;&lt;bundle&gt;&lt;publication&gt;&lt;publisher&gt;Elsevier&lt;/publisher&gt;&lt;title&gt;Journal of Monetary Economics&lt;/title&gt;&lt;type&gt;-100&lt;/type&gt;&lt;subtype&gt;-100&lt;/subtype&gt;&lt;uuid&gt;672C23A7-7F70-46DF-8D89-1D0C4F7D761A&lt;/uuid&gt;&lt;/publication&gt;&lt;/bundle&gt;&lt;authors&gt;&lt;author&gt;&lt;firstName&gt;Robert&lt;/firstName&gt;&lt;middleNames&gt;B&lt;/middleNames&gt;&lt;lastName&gt;Barsky&lt;/lastName&gt;&lt;/author&gt;&lt;/authors&gt;&lt;/publication&gt;&lt;/publications&gt;&lt;cites&gt;&lt;/cites&gt;&lt;/citation&gt;</w:instrText>
            </w:r>
            <w:r w:rsidRPr="00535A4C">
              <w:rPr>
                <w:rFonts w:ascii="Cambria" w:eastAsia="MS ??" w:hAnsi="Cambria"/>
                <w:lang w:eastAsia="ja-JP"/>
              </w:rPr>
              <w:fldChar w:fldCharType="separate"/>
            </w:r>
            <w:r w:rsidR="00A861CE" w:rsidRPr="00535A4C">
              <w:rPr>
                <w:rFonts w:eastAsia="MS ??"/>
                <w:lang w:eastAsia="ja-JP"/>
              </w:rPr>
              <w:t xml:space="preserve">(Barsky, </w:t>
            </w:r>
            <w:r w:rsidRPr="00535A4C">
              <w:rPr>
                <w:rFonts w:eastAsia="MS ??"/>
                <w:lang w:eastAsia="ja-JP"/>
              </w:rPr>
              <w:t>1987)</w:t>
            </w:r>
            <w:r w:rsidRPr="00535A4C">
              <w:rPr>
                <w:rFonts w:ascii="Cambria" w:eastAsia="MS ??" w:hAnsi="Cambria"/>
                <w:lang w:eastAsia="ja-JP"/>
              </w:rPr>
              <w:fldChar w:fldCharType="end"/>
            </w:r>
          </w:p>
        </w:tc>
      </w:tr>
      <w:tr w:rsidR="00AB6A88" w:rsidRPr="00535A4C" w14:paraId="4203759A" w14:textId="77777777" w:rsidTr="00ED3835">
        <w:tc>
          <w:tcPr>
            <w:tcW w:w="1667" w:type="dxa"/>
          </w:tcPr>
          <w:p w14:paraId="5FA0D231"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NIR6</w:t>
            </w:r>
          </w:p>
        </w:tc>
        <w:tc>
          <w:tcPr>
            <w:tcW w:w="1239" w:type="dxa"/>
          </w:tcPr>
          <w:p w14:paraId="37AC7B91"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 xml:space="preserve">1800-2012 </w:t>
            </w:r>
          </w:p>
        </w:tc>
        <w:tc>
          <w:tcPr>
            <w:tcW w:w="6114" w:type="dxa"/>
          </w:tcPr>
          <w:p w14:paraId="6F0D3460" w14:textId="77777777" w:rsidR="00C57097"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 xml:space="preserve">Natural interest rate calculated with multivariate </w:t>
            </w:r>
            <w:proofErr w:type="spellStart"/>
            <w:r w:rsidRPr="00535A4C">
              <w:rPr>
                <w:rFonts w:ascii="Cambria" w:eastAsia="MS ??" w:hAnsi="Cambria"/>
                <w:lang w:eastAsia="ja-JP"/>
              </w:rPr>
              <w:t>Hodrick</w:t>
            </w:r>
            <w:proofErr w:type="spellEnd"/>
            <w:r w:rsidRPr="00535A4C">
              <w:rPr>
                <w:rFonts w:ascii="Cambria" w:eastAsia="MS ??" w:hAnsi="Cambria"/>
                <w:lang w:eastAsia="ja-JP"/>
              </w:rPr>
              <w:t xml:space="preserve">-Prescott filter </w:t>
            </w:r>
            <w:r w:rsidRPr="00535A4C">
              <w:rPr>
                <w:rFonts w:ascii="Cambria" w:eastAsia="MS ??" w:hAnsi="Cambria"/>
                <w:szCs w:val="22"/>
                <w:lang w:eastAsia="ja-JP"/>
              </w:rPr>
              <w:sym w:font="Symbol" w:char="F06C"/>
            </w:r>
            <w:r w:rsidRPr="00535A4C">
              <w:rPr>
                <w:rFonts w:ascii="Cambria" w:eastAsia="MS ??" w:hAnsi="Cambria"/>
                <w:lang w:eastAsia="ja-JP"/>
              </w:rPr>
              <w:t xml:space="preserve">=6.25 as in </w:t>
            </w:r>
            <w:r w:rsidR="00C57097" w:rsidRPr="00535A4C">
              <w:rPr>
                <w:rFonts w:ascii="Cambria" w:eastAsia="MS ??" w:hAnsi="Cambria"/>
                <w:lang w:eastAsia="ja-JP"/>
              </w:rPr>
              <w:fldChar w:fldCharType="begin"/>
            </w:r>
            <w:r w:rsidR="00C57097" w:rsidRPr="00535A4C">
              <w:rPr>
                <w:rFonts w:ascii="Cambria" w:eastAsia="MS ??" w:hAnsi="Cambria"/>
                <w:lang w:eastAsia="ja-JP"/>
              </w:rPr>
              <w:instrText xml:space="preserve"> ADDIN PAPERS2_CITATIONS &lt;citation&gt;&lt;uuid&gt;EC0D9220-C834-4F1F-992F-21D1201E938A&lt;/uuid&gt;&lt;priority&gt;65&lt;/priority&gt;&lt;publications&gt;&lt;publication&gt;&lt;location&gt;&amp;lt;html&gt;&amp;lt;head&gt;&amp;lt;meta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href="http://www.google.com/support/bin/answer.py?answer=86640"&gt;Google Help&amp;lt;/a&gt; for more information.&amp;lt;br/&gt;&amp;lt;br/&gt;&amp;lt;/div&gt;&amp;lt;div style="text-align: center; border-top: 1px solid #dfdfdf;"&gt;&amp;amp;copy; 2009 Google - &amp;lt;a href="http://www.google.com"&gt;Google Home&amp;lt;/a&gt;&amp;lt;/div&gt;&amp;lt;/body&gt;&amp;lt;/html&gt;&lt;/location&gt;&lt;number&gt;2010&lt;/number&gt;&lt;title&gt;ESTIMATIONS OF THE NATURAL RATE OF INTEREST IN COLOMBIA</w:instrText>
            </w:r>
          </w:p>
          <w:p w14:paraId="689F4ABF" w14:textId="77777777" w:rsidR="00AB6A88" w:rsidRPr="00535A4C" w:rsidRDefault="00C57097" w:rsidP="00E8204B">
            <w:pPr>
              <w:pStyle w:val="TableBody"/>
              <w:jc w:val="both"/>
              <w:rPr>
                <w:rFonts w:ascii="Cambria" w:eastAsia="MS ??" w:hAnsi="Cambria"/>
                <w:lang w:eastAsia="ja-JP"/>
              </w:rPr>
            </w:pPr>
            <w:r w:rsidRPr="00535A4C">
              <w:rPr>
                <w:rFonts w:ascii="Cambria" w:eastAsia="MS ??" w:hAnsi="Cambria"/>
                <w:lang w:eastAsia="ja-JP"/>
              </w:rPr>
              <w:instrText>&lt;/title&gt;&lt;uuid&gt;DCDB7CC0-CE7C-4DF0-970E-33CB2A78B1AB&lt;/uuid&gt;&lt;subtype&gt;700&lt;/subtype&gt;&lt;version&gt;Banco De La Republica Colombia&lt;/version&gt;&lt;type&gt;700&lt;/type&gt;&lt;place&gt;Bogota&lt;/place&gt;&lt;url&gt;http://www.banrep.gov.co/docum/ftp/borra626.pdf&lt;/url&gt;&lt;bundle&gt;&lt;publication&gt;&lt;title&gt;banrep.gov.co&lt;/title&gt;&lt;type&gt;-100&lt;/type&gt;&lt;subtype&gt;-100&lt;/subtype&gt;&lt;uuid&gt;A4F843BA-F388-4CD6-B04B-F4AA0E0DF612&lt;/uuid&gt;&lt;/publication&gt;&lt;/bundle&gt;&lt;authors&gt;&lt;author&gt;&lt;firstName&gt;Eliana&lt;/firstName&gt;&lt;lastName&gt;González&lt;/lastName&gt;&lt;/author&gt;&lt;author&gt;&lt;firstName&gt;Luis&lt;/firstName&gt;&lt;middleNames&gt;F&lt;/middleNames&gt;&lt;lastName&gt;Melo&lt;/lastName&gt;&lt;/author&gt;&lt;author&gt;&lt;firstName&gt;Luis&lt;/firstName&gt;&lt;middleNames&gt;E&lt;/middleNames&gt;&lt;lastName&gt;Rojas&lt;/lastName&gt;&lt;/author&gt;&lt;author&gt;&lt;firstName&gt;B&lt;/firstName&gt;&lt;lastName&gt;Rojas&lt;/lastName&gt;&lt;/author&gt;&lt;/authors&gt;&lt;/publication&gt;&lt;/publications&gt;&lt;cites&gt;&lt;/cites&gt;&lt;/citation&gt;</w:instrText>
            </w:r>
            <w:r w:rsidRPr="00535A4C">
              <w:rPr>
                <w:rFonts w:ascii="Cambria" w:eastAsia="MS ??" w:hAnsi="Cambria"/>
                <w:lang w:eastAsia="ja-JP"/>
              </w:rPr>
              <w:fldChar w:fldCharType="separate"/>
            </w:r>
            <w:r w:rsidR="00167E5D" w:rsidRPr="00535A4C">
              <w:rPr>
                <w:rFonts w:ascii="Cambria" w:hAnsi="Cambria" w:cs="Cambria"/>
                <w:szCs w:val="22"/>
                <w:lang w:eastAsia="hr-HR"/>
              </w:rPr>
              <w:t>(González, Melo, Rojas and Rojas, 2010</w:t>
            </w:r>
            <w:r w:rsidRPr="00535A4C">
              <w:rPr>
                <w:rFonts w:ascii="Cambria" w:hAnsi="Cambria" w:cs="Cambria"/>
                <w:szCs w:val="22"/>
                <w:lang w:eastAsia="hr-HR"/>
              </w:rPr>
              <w:t>)</w:t>
            </w:r>
            <w:r w:rsidRPr="00535A4C">
              <w:rPr>
                <w:rFonts w:ascii="Cambria" w:eastAsia="MS ??" w:hAnsi="Cambria"/>
                <w:lang w:eastAsia="ja-JP"/>
              </w:rPr>
              <w:fldChar w:fldCharType="end"/>
            </w:r>
          </w:p>
        </w:tc>
      </w:tr>
      <w:tr w:rsidR="00AB6A88" w:rsidRPr="00535A4C" w14:paraId="702E40EF" w14:textId="77777777" w:rsidTr="00ED3835">
        <w:tc>
          <w:tcPr>
            <w:tcW w:w="1667" w:type="dxa"/>
          </w:tcPr>
          <w:p w14:paraId="19C36439"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RORK2</w:t>
            </w:r>
          </w:p>
        </w:tc>
        <w:tc>
          <w:tcPr>
            <w:tcW w:w="1239" w:type="dxa"/>
          </w:tcPr>
          <w:p w14:paraId="77E898EC"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1800-2012</w:t>
            </w:r>
          </w:p>
        </w:tc>
        <w:tc>
          <w:tcPr>
            <w:tcW w:w="6114" w:type="dxa"/>
          </w:tcPr>
          <w:p w14:paraId="313F9B1C"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Real rate of return on capital</w:t>
            </w:r>
            <w:r w:rsidR="00C57097" w:rsidRPr="00535A4C">
              <w:rPr>
                <w:rFonts w:ascii="Cambria" w:eastAsia="MS ??" w:hAnsi="Cambria"/>
                <w:lang w:eastAsia="ja-JP"/>
              </w:rPr>
              <w:t xml:space="preserve"> calculated as in </w:t>
            </w:r>
            <w:r w:rsidR="00C57097" w:rsidRPr="00535A4C">
              <w:rPr>
                <w:rFonts w:ascii="Cambria" w:eastAsia="MS ??" w:hAnsi="Cambria"/>
                <w:lang w:eastAsia="ja-JP"/>
              </w:rPr>
              <w:fldChar w:fldCharType="begin"/>
            </w:r>
            <w:r w:rsidR="00C57097" w:rsidRPr="00535A4C">
              <w:rPr>
                <w:rFonts w:ascii="Cambria" w:eastAsia="MS ??" w:hAnsi="Cambria"/>
                <w:lang w:eastAsia="ja-JP"/>
              </w:rPr>
              <w:instrText xml:space="preserve"> ADDIN PAPERS2_CITATIONS &lt;citation&gt;&lt;uuid&gt;CAF7D2D5-B846-4DD6-8697-BCF2D0F4E515&lt;/uuid&gt;&lt;priority&gt;0&lt;/priority&gt;&lt;publications&gt;&lt;publication&gt;&lt;volume&gt;122&lt;/volume&gt;&lt;number&gt;2&lt;/number&gt;&lt;startpage&gt;535&lt;/startpage&gt;&lt;title&gt;The marginal product of capital&lt;/title&gt;&lt;uuid&gt;8E77C2D2-1BC7-49F8-83B3-6DC342BAAF9B&lt;/uuid&gt;&lt;subtype&gt;400&lt;/subtype&gt;&lt;publisher&gt;Oxford University Press&lt;/publisher&gt;&lt;type&gt;400&lt;/type&gt;&lt;endpage&gt;568&lt;/endpage&gt;&lt;publication_date&gt;99200700001200000000200000&lt;/publication_date&gt;&lt;bundle&gt;&lt;publication&gt;&lt;publisher&gt;Oxford University Press&lt;/publisher&gt;&lt;title&gt;The quarterly journal of economics&lt;/title&gt;&lt;type&gt;-100&lt;/type&gt;&lt;subtype&gt;-100&lt;/subtype&gt;&lt;uuid&gt;46EBA018-FF9C-404B-ADF3-5864500E8D14&lt;/uuid&gt;&lt;/publication&gt;&lt;/bundle&gt;&lt;authors&gt;&lt;author&gt;&lt;firstName&gt;Francesco&lt;/firstName&gt;&lt;lastName&gt;Caselli&lt;/lastName&gt;&lt;/author&gt;&lt;author&gt;&lt;firstName&gt;James&lt;/firstName&gt;&lt;lastName&gt;Feyrer&lt;/lastName&gt;&lt;/author&gt;&lt;/authors&gt;&lt;/publication&gt;&lt;/publications&gt;&lt;cites&gt;&lt;/cites&gt;&lt;/citation&gt;</w:instrText>
            </w:r>
            <w:r w:rsidR="00C57097" w:rsidRPr="00535A4C">
              <w:rPr>
                <w:rFonts w:ascii="Cambria" w:eastAsia="MS ??" w:hAnsi="Cambria"/>
                <w:lang w:eastAsia="ja-JP"/>
              </w:rPr>
              <w:fldChar w:fldCharType="separate"/>
            </w:r>
            <w:r w:rsidR="00167E5D" w:rsidRPr="00535A4C">
              <w:rPr>
                <w:rFonts w:ascii="Cambria" w:hAnsi="Cambria" w:cs="Cambria"/>
                <w:szCs w:val="22"/>
                <w:lang w:eastAsia="hr-HR"/>
              </w:rPr>
              <w:t>(Caselli and</w:t>
            </w:r>
            <w:r w:rsidR="00C57097" w:rsidRPr="00535A4C">
              <w:rPr>
                <w:rFonts w:ascii="Cambria" w:hAnsi="Cambria" w:cs="Cambria"/>
                <w:szCs w:val="22"/>
                <w:lang w:eastAsia="hr-HR"/>
              </w:rPr>
              <w:t xml:space="preserve"> Feyrer, 2007)</w:t>
            </w:r>
            <w:r w:rsidR="00C57097" w:rsidRPr="00535A4C">
              <w:rPr>
                <w:rFonts w:ascii="Cambria" w:eastAsia="MS ??" w:hAnsi="Cambria"/>
                <w:lang w:eastAsia="ja-JP"/>
              </w:rPr>
              <w:fldChar w:fldCharType="end"/>
            </w:r>
          </w:p>
        </w:tc>
      </w:tr>
      <w:tr w:rsidR="00AB6A88" w:rsidRPr="00535A4C" w14:paraId="6092E084" w14:textId="77777777" w:rsidTr="00ED3835">
        <w:tc>
          <w:tcPr>
            <w:tcW w:w="1667" w:type="dxa"/>
          </w:tcPr>
          <w:p w14:paraId="397E00C5"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PPG</w:t>
            </w:r>
          </w:p>
        </w:tc>
        <w:tc>
          <w:tcPr>
            <w:tcW w:w="1239" w:type="dxa"/>
          </w:tcPr>
          <w:p w14:paraId="31F0476E"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1800-2012</w:t>
            </w:r>
          </w:p>
        </w:tc>
        <w:tc>
          <w:tcPr>
            <w:tcW w:w="6114" w:type="dxa"/>
          </w:tcPr>
          <w:p w14:paraId="69F113D6"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Purchasing power (guilder)</w:t>
            </w:r>
          </w:p>
        </w:tc>
      </w:tr>
      <w:tr w:rsidR="00AB6A88" w:rsidRPr="00535A4C" w14:paraId="70EB87D8" w14:textId="77777777" w:rsidTr="00ED3835">
        <w:tc>
          <w:tcPr>
            <w:tcW w:w="1667" w:type="dxa"/>
          </w:tcPr>
          <w:p w14:paraId="7DBC17BE"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TURNOVER</w:t>
            </w:r>
          </w:p>
        </w:tc>
        <w:tc>
          <w:tcPr>
            <w:tcW w:w="1239" w:type="dxa"/>
          </w:tcPr>
          <w:p w14:paraId="33E7D487"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1800-2012</w:t>
            </w:r>
          </w:p>
        </w:tc>
        <w:tc>
          <w:tcPr>
            <w:tcW w:w="6114" w:type="dxa"/>
          </w:tcPr>
          <w:p w14:paraId="5FD1064C" w14:textId="77777777" w:rsidR="00AB6A88" w:rsidRPr="00535A4C" w:rsidRDefault="000D1BF1" w:rsidP="00E8204B">
            <w:pPr>
              <w:pStyle w:val="TableBody"/>
              <w:jc w:val="both"/>
              <w:rPr>
                <w:rFonts w:ascii="Cambria" w:eastAsia="MS ??" w:hAnsi="Cambria"/>
                <w:lang w:eastAsia="ja-JP"/>
              </w:rPr>
            </w:pPr>
            <w:r w:rsidRPr="00535A4C">
              <w:rPr>
                <w:rFonts w:ascii="Cambria" w:eastAsia="MS ??" w:hAnsi="Cambria"/>
                <w:lang w:eastAsia="ja-JP"/>
              </w:rPr>
              <w:t>Change in business inventories % of GDP</w:t>
            </w:r>
          </w:p>
        </w:tc>
      </w:tr>
      <w:tr w:rsidR="00AB6A88" w:rsidRPr="00535A4C" w14:paraId="37078F53" w14:textId="77777777" w:rsidTr="00ED3835">
        <w:tc>
          <w:tcPr>
            <w:tcW w:w="1667" w:type="dxa"/>
          </w:tcPr>
          <w:p w14:paraId="16C75B70"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M1</w:t>
            </w:r>
          </w:p>
        </w:tc>
        <w:tc>
          <w:tcPr>
            <w:tcW w:w="1239" w:type="dxa"/>
          </w:tcPr>
          <w:p w14:paraId="790B95CD"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1800-2012</w:t>
            </w:r>
          </w:p>
        </w:tc>
        <w:tc>
          <w:tcPr>
            <w:tcW w:w="6114" w:type="dxa"/>
          </w:tcPr>
          <w:p w14:paraId="4C7EC991"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Money supply (</w:t>
            </w:r>
            <w:proofErr w:type="spellStart"/>
            <w:r w:rsidRPr="00535A4C">
              <w:rPr>
                <w:rFonts w:ascii="Cambria" w:eastAsia="MS ??" w:hAnsi="Cambria"/>
                <w:lang w:eastAsia="ja-JP"/>
              </w:rPr>
              <w:t>mln</w:t>
            </w:r>
            <w:proofErr w:type="spellEnd"/>
            <w:r w:rsidRPr="00535A4C">
              <w:rPr>
                <w:rFonts w:ascii="Cambria" w:eastAsia="MS ??" w:hAnsi="Cambria"/>
                <w:lang w:eastAsia="ja-JP"/>
              </w:rPr>
              <w:t xml:space="preserve"> guilder, current prices)</w:t>
            </w:r>
          </w:p>
        </w:tc>
      </w:tr>
      <w:tr w:rsidR="00AB6A88" w:rsidRPr="00535A4C" w14:paraId="695A5547" w14:textId="77777777" w:rsidTr="00ED3835">
        <w:tc>
          <w:tcPr>
            <w:tcW w:w="1667" w:type="dxa"/>
          </w:tcPr>
          <w:p w14:paraId="38124037"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EXPP</w:t>
            </w:r>
          </w:p>
        </w:tc>
        <w:tc>
          <w:tcPr>
            <w:tcW w:w="1239" w:type="dxa"/>
          </w:tcPr>
          <w:p w14:paraId="2F364863"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1800-2012</w:t>
            </w:r>
          </w:p>
        </w:tc>
        <w:tc>
          <w:tcPr>
            <w:tcW w:w="6114" w:type="dxa"/>
          </w:tcPr>
          <w:p w14:paraId="5083BF9A" w14:textId="77777777" w:rsidR="00AB6A88" w:rsidRPr="00535A4C" w:rsidRDefault="00AB6A88" w:rsidP="00463F3D">
            <w:pPr>
              <w:pStyle w:val="TableBody"/>
              <w:jc w:val="both"/>
              <w:rPr>
                <w:rFonts w:ascii="Cambria" w:eastAsia="MS ??" w:hAnsi="Cambria"/>
                <w:lang w:eastAsia="ja-JP"/>
              </w:rPr>
            </w:pPr>
            <w:r w:rsidRPr="00535A4C">
              <w:rPr>
                <w:rFonts w:ascii="Cambria" w:eastAsia="MS ??" w:hAnsi="Cambria"/>
                <w:lang w:eastAsia="ja-JP"/>
              </w:rPr>
              <w:t xml:space="preserve">Expected rate of profitability measured </w:t>
            </w:r>
            <w:r w:rsidR="00463F3D" w:rsidRPr="00535A4C">
              <w:rPr>
                <w:rFonts w:ascii="Cambria" w:eastAsia="MS ??" w:hAnsi="Cambria"/>
                <w:lang w:eastAsia="ja-JP"/>
              </w:rPr>
              <w:t>using</w:t>
            </w:r>
            <w:r w:rsidRPr="00535A4C">
              <w:rPr>
                <w:rFonts w:ascii="Cambria" w:eastAsia="MS ??" w:hAnsi="Cambria"/>
                <w:lang w:eastAsia="ja-JP"/>
              </w:rPr>
              <w:t xml:space="preserve"> multivariate unobserved component filter with three explanatory variable </w:t>
            </w:r>
            <w:r w:rsidRPr="00535A4C">
              <w:rPr>
                <w:rFonts w:ascii="Cambria" w:eastAsia="MS ??" w:hAnsi="Cambria"/>
                <w:lang w:eastAsia="ja-JP"/>
              </w:rPr>
              <w:lastRenderedPageBreak/>
              <w:t>(wage index, productivity, stocks)</w:t>
            </w:r>
          </w:p>
        </w:tc>
      </w:tr>
      <w:tr w:rsidR="00AB6A88" w:rsidRPr="00535A4C" w14:paraId="5CE39BEF" w14:textId="77777777" w:rsidTr="00ED3835">
        <w:tc>
          <w:tcPr>
            <w:tcW w:w="1667" w:type="dxa"/>
          </w:tcPr>
          <w:p w14:paraId="498678EE"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lastRenderedPageBreak/>
              <w:t>UN</w:t>
            </w:r>
          </w:p>
        </w:tc>
        <w:tc>
          <w:tcPr>
            <w:tcW w:w="1239" w:type="dxa"/>
          </w:tcPr>
          <w:p w14:paraId="46DA3121"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1800-2012</w:t>
            </w:r>
          </w:p>
        </w:tc>
        <w:tc>
          <w:tcPr>
            <w:tcW w:w="6114" w:type="dxa"/>
          </w:tcPr>
          <w:p w14:paraId="3B9BA3B1"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Unemployment rate</w:t>
            </w:r>
            <w:r w:rsidR="000D1BF1" w:rsidRPr="00535A4C">
              <w:rPr>
                <w:rFonts w:ascii="Cambria" w:eastAsia="MS ??" w:hAnsi="Cambria"/>
                <w:lang w:eastAsia="ja-JP"/>
              </w:rPr>
              <w:t xml:space="preserve"> in percent</w:t>
            </w:r>
          </w:p>
        </w:tc>
      </w:tr>
      <w:tr w:rsidR="00AB6A88" w:rsidRPr="00535A4C" w14:paraId="06A806B5" w14:textId="77777777" w:rsidTr="00ED3835">
        <w:tc>
          <w:tcPr>
            <w:tcW w:w="1667" w:type="dxa"/>
          </w:tcPr>
          <w:p w14:paraId="22E2097A"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GOLDSIL</w:t>
            </w:r>
          </w:p>
        </w:tc>
        <w:tc>
          <w:tcPr>
            <w:tcW w:w="1239" w:type="dxa"/>
          </w:tcPr>
          <w:p w14:paraId="54924524"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1800-2012</w:t>
            </w:r>
          </w:p>
        </w:tc>
        <w:tc>
          <w:tcPr>
            <w:tcW w:w="6114" w:type="dxa"/>
          </w:tcPr>
          <w:p w14:paraId="0A735C49"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Gold/Silver Price Ratio (ounces of silver per ounce of gold)</w:t>
            </w:r>
          </w:p>
        </w:tc>
      </w:tr>
      <w:tr w:rsidR="00AB6A88" w:rsidRPr="00535A4C" w14:paraId="5F7384FF" w14:textId="77777777" w:rsidTr="00ED3835">
        <w:tc>
          <w:tcPr>
            <w:tcW w:w="1667" w:type="dxa"/>
          </w:tcPr>
          <w:p w14:paraId="77160B58"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VOL</w:t>
            </w:r>
          </w:p>
        </w:tc>
        <w:tc>
          <w:tcPr>
            <w:tcW w:w="1239" w:type="dxa"/>
          </w:tcPr>
          <w:p w14:paraId="23BE14A6"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1800-2012</w:t>
            </w:r>
          </w:p>
        </w:tc>
        <w:tc>
          <w:tcPr>
            <w:tcW w:w="6114" w:type="dxa"/>
          </w:tcPr>
          <w:p w14:paraId="4E2AEA83" w14:textId="77777777" w:rsidR="00AB6A88" w:rsidRPr="00535A4C" w:rsidRDefault="00AB6A88" w:rsidP="00E8204B">
            <w:pPr>
              <w:pStyle w:val="TableBody"/>
              <w:jc w:val="both"/>
              <w:rPr>
                <w:rFonts w:ascii="Cambria" w:eastAsia="MS ??" w:hAnsi="Cambria"/>
                <w:lang w:eastAsia="ja-JP"/>
              </w:rPr>
            </w:pPr>
            <w:r w:rsidRPr="00535A4C">
              <w:rPr>
                <w:rFonts w:ascii="Cambria" w:eastAsia="MS ??" w:hAnsi="Cambria"/>
                <w:lang w:eastAsia="ja-JP"/>
              </w:rPr>
              <w:t>Gold price volatility measured using GORCH (2,3) model – conditional standard deviation</w:t>
            </w:r>
          </w:p>
        </w:tc>
      </w:tr>
      <w:tr w:rsidR="00463F3D" w:rsidRPr="00535A4C" w14:paraId="574FAF83" w14:textId="77777777" w:rsidTr="00ED3835">
        <w:tc>
          <w:tcPr>
            <w:tcW w:w="1667" w:type="dxa"/>
          </w:tcPr>
          <w:p w14:paraId="6DC20992" w14:textId="77777777" w:rsidR="00463F3D" w:rsidRPr="00535A4C" w:rsidRDefault="00463F3D" w:rsidP="00E8204B">
            <w:pPr>
              <w:pStyle w:val="TableBody"/>
              <w:jc w:val="both"/>
              <w:rPr>
                <w:rFonts w:ascii="Cambria" w:eastAsia="MS ??" w:hAnsi="Cambria"/>
                <w:lang w:eastAsia="ja-JP"/>
              </w:rPr>
            </w:pPr>
            <w:r w:rsidRPr="00535A4C">
              <w:rPr>
                <w:rFonts w:ascii="Cambria" w:eastAsia="MS ??" w:hAnsi="Cambria"/>
                <w:lang w:eastAsia="ja-JP"/>
              </w:rPr>
              <w:t>DR</w:t>
            </w:r>
          </w:p>
        </w:tc>
        <w:tc>
          <w:tcPr>
            <w:tcW w:w="1239" w:type="dxa"/>
          </w:tcPr>
          <w:p w14:paraId="47F60533" w14:textId="77777777" w:rsidR="00463F3D" w:rsidRPr="00535A4C" w:rsidRDefault="00463F3D" w:rsidP="00E8204B">
            <w:pPr>
              <w:pStyle w:val="TableBody"/>
              <w:jc w:val="both"/>
              <w:rPr>
                <w:rFonts w:ascii="Cambria" w:eastAsia="MS ??" w:hAnsi="Cambria"/>
                <w:lang w:eastAsia="ja-JP"/>
              </w:rPr>
            </w:pPr>
            <w:r w:rsidRPr="00535A4C">
              <w:rPr>
                <w:rFonts w:ascii="Cambria" w:eastAsia="MS ??" w:hAnsi="Cambria"/>
                <w:lang w:eastAsia="ja-JP"/>
              </w:rPr>
              <w:t>1800-2012</w:t>
            </w:r>
          </w:p>
        </w:tc>
        <w:tc>
          <w:tcPr>
            <w:tcW w:w="6114" w:type="dxa"/>
          </w:tcPr>
          <w:p w14:paraId="44324361" w14:textId="77777777" w:rsidR="00463F3D" w:rsidRPr="00535A4C" w:rsidRDefault="00463F3D" w:rsidP="00E8204B">
            <w:pPr>
              <w:pStyle w:val="TableBody"/>
              <w:jc w:val="both"/>
              <w:rPr>
                <w:rFonts w:ascii="Cambria" w:eastAsia="MS ??" w:hAnsi="Cambria"/>
                <w:lang w:eastAsia="ja-JP"/>
              </w:rPr>
            </w:pPr>
            <w:r w:rsidRPr="00535A4C">
              <w:rPr>
                <w:rFonts w:ascii="Cambria" w:eastAsia="MS ??" w:hAnsi="Cambria"/>
                <w:lang w:eastAsia="ja-JP"/>
              </w:rPr>
              <w:t>DNB bank discount rate (primary credit rate)</w:t>
            </w:r>
            <w:r w:rsidR="000D1BF1" w:rsidRPr="00535A4C">
              <w:rPr>
                <w:rFonts w:ascii="Cambria" w:eastAsia="MS ??" w:hAnsi="Cambria"/>
                <w:lang w:eastAsia="ja-JP"/>
              </w:rPr>
              <w:t xml:space="preserve"> in percent</w:t>
            </w:r>
          </w:p>
        </w:tc>
      </w:tr>
    </w:tbl>
    <w:p w14:paraId="270D152D" w14:textId="77777777" w:rsidR="00AB6A88" w:rsidRPr="00535A4C" w:rsidRDefault="00AB6A88" w:rsidP="000D1BF1">
      <w:pPr>
        <w:pStyle w:val="TableNotes"/>
        <w:jc w:val="both"/>
      </w:pPr>
      <w:r w:rsidRPr="00535A4C">
        <w:t>Source</w:t>
      </w:r>
      <w:r w:rsidR="00803F93">
        <w:t>: Study data sources and author’s</w:t>
      </w:r>
      <w:r w:rsidRPr="00535A4C">
        <w:t xml:space="preserve"> calculation</w:t>
      </w:r>
      <w:r w:rsidR="00803F93">
        <w:t>s</w:t>
      </w:r>
    </w:p>
    <w:sectPr w:rsidR="00AB6A88" w:rsidRPr="00535A4C" w:rsidSect="00181ABE">
      <w:headerReference w:type="even" r:id="rId54"/>
      <w:headerReference w:type="default" r:id="rId55"/>
      <w:pgSz w:w="11900" w:h="16840" w:code="1"/>
      <w:pgMar w:top="1440" w:right="1440" w:bottom="1440" w:left="1440" w:header="720" w:footer="720" w:gutter="0"/>
      <w:pgNumType w:start="1"/>
      <w:cols w:space="36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5BEBB" w14:textId="77777777" w:rsidR="00BC6393" w:rsidRDefault="00BC6393">
      <w:r>
        <w:separator/>
      </w:r>
    </w:p>
  </w:endnote>
  <w:endnote w:type="continuationSeparator" w:id="0">
    <w:p w14:paraId="2C7E45F9" w14:textId="77777777" w:rsidR="00BC6393" w:rsidRDefault="00BC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8F086" w14:textId="77777777" w:rsidR="00BC6393" w:rsidRDefault="00BC6393">
      <w:r>
        <w:separator/>
      </w:r>
    </w:p>
  </w:footnote>
  <w:footnote w:type="continuationSeparator" w:id="0">
    <w:p w14:paraId="333481DA" w14:textId="77777777" w:rsidR="00BC6393" w:rsidRDefault="00BC63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3B3BF" w14:textId="77777777" w:rsidR="00C84D63" w:rsidRDefault="00C84D63" w:rsidP="00684D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9369AE" w14:textId="77777777" w:rsidR="00C84D63" w:rsidRDefault="00C84D63" w:rsidP="00181AB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D039E" w14:textId="77777777" w:rsidR="00C84D63" w:rsidRDefault="00C84D63" w:rsidP="00684D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1679">
      <w:rPr>
        <w:rStyle w:val="PageNumber"/>
        <w:noProof/>
      </w:rPr>
      <w:t>2</w:t>
    </w:r>
    <w:r>
      <w:rPr>
        <w:rStyle w:val="PageNumber"/>
      </w:rPr>
      <w:fldChar w:fldCharType="end"/>
    </w:r>
  </w:p>
  <w:p w14:paraId="2AC0BC23" w14:textId="77777777" w:rsidR="00C84D63" w:rsidRPr="009D3C53" w:rsidRDefault="00C84D63" w:rsidP="00F327AD">
    <w:pPr>
      <w:pStyle w:val="Header"/>
      <w:tabs>
        <w:tab w:val="right" w:pos="9356"/>
      </w:tabs>
      <w:ind w:right="360"/>
      <w:jc w:val="left"/>
    </w:pPr>
    <w:r w:rsidRPr="009D3C53">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662B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9FE5F8C"/>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F42AB85C"/>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88CA3802"/>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E0A6FF66"/>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8166CE0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656064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5EEC09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1CA58D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C2E857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EC52B628"/>
    <w:lvl w:ilvl="0">
      <w:start w:val="1"/>
      <w:numFmt w:val="bullet"/>
      <w:lvlText w:val=""/>
      <w:lvlJc w:val="left"/>
      <w:pPr>
        <w:tabs>
          <w:tab w:val="num" w:pos="360"/>
        </w:tabs>
        <w:ind w:left="360" w:hanging="360"/>
      </w:pPr>
      <w:rPr>
        <w:rFonts w:ascii="Symbol" w:hAnsi="Symbol" w:hint="default"/>
      </w:rPr>
    </w:lvl>
  </w:abstractNum>
  <w:abstractNum w:abstractNumId="11">
    <w:nsid w:val="17D73C09"/>
    <w:multiLevelType w:val="hybridMultilevel"/>
    <w:tmpl w:val="86529B7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BE32D6"/>
    <w:multiLevelType w:val="multilevel"/>
    <w:tmpl w:val="8E80567A"/>
    <w:lvl w:ilvl="0">
      <w:start w:val="1"/>
      <w:numFmt w:val="decimal"/>
      <w:lvlText w:val="%1."/>
      <w:lvlJc w:val="left"/>
      <w:pPr>
        <w:ind w:left="1440" w:hanging="360"/>
      </w:pPr>
      <w:rPr>
        <w:rFonts w:cs="Times New Roman"/>
      </w:rPr>
    </w:lvl>
    <w:lvl w:ilvl="1">
      <w:start w:val="2"/>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61DC0007"/>
    <w:multiLevelType w:val="hybridMultilevel"/>
    <w:tmpl w:val="BB7E8140"/>
    <w:lvl w:ilvl="0" w:tplc="FB7EDA4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798D6ED2"/>
    <w:multiLevelType w:val="hybridMultilevel"/>
    <w:tmpl w:val="9BB85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00"/>
    <w:rsid w:val="000002E1"/>
    <w:rsid w:val="00001269"/>
    <w:rsid w:val="00002EB9"/>
    <w:rsid w:val="00003E0E"/>
    <w:rsid w:val="00004977"/>
    <w:rsid w:val="00006F91"/>
    <w:rsid w:val="00007AFE"/>
    <w:rsid w:val="00010A55"/>
    <w:rsid w:val="0001163B"/>
    <w:rsid w:val="00012E2F"/>
    <w:rsid w:val="00014560"/>
    <w:rsid w:val="0001516E"/>
    <w:rsid w:val="000169CE"/>
    <w:rsid w:val="00016C23"/>
    <w:rsid w:val="00016D48"/>
    <w:rsid w:val="00016EF9"/>
    <w:rsid w:val="0002024E"/>
    <w:rsid w:val="000214DA"/>
    <w:rsid w:val="00021681"/>
    <w:rsid w:val="00021F51"/>
    <w:rsid w:val="000222B8"/>
    <w:rsid w:val="000224E0"/>
    <w:rsid w:val="0002345E"/>
    <w:rsid w:val="00023AD7"/>
    <w:rsid w:val="00025074"/>
    <w:rsid w:val="00025EA7"/>
    <w:rsid w:val="00025FE6"/>
    <w:rsid w:val="0002645A"/>
    <w:rsid w:val="00026481"/>
    <w:rsid w:val="000265A8"/>
    <w:rsid w:val="00026C30"/>
    <w:rsid w:val="0002767D"/>
    <w:rsid w:val="00032595"/>
    <w:rsid w:val="000327EB"/>
    <w:rsid w:val="000331EA"/>
    <w:rsid w:val="000334B5"/>
    <w:rsid w:val="0003571B"/>
    <w:rsid w:val="00036432"/>
    <w:rsid w:val="000411C3"/>
    <w:rsid w:val="00043F08"/>
    <w:rsid w:val="00044D10"/>
    <w:rsid w:val="0004592C"/>
    <w:rsid w:val="00045DEB"/>
    <w:rsid w:val="000461D9"/>
    <w:rsid w:val="000504E2"/>
    <w:rsid w:val="00052138"/>
    <w:rsid w:val="00052312"/>
    <w:rsid w:val="00052561"/>
    <w:rsid w:val="00056919"/>
    <w:rsid w:val="00056C46"/>
    <w:rsid w:val="0005707D"/>
    <w:rsid w:val="00060420"/>
    <w:rsid w:val="000610F6"/>
    <w:rsid w:val="00061408"/>
    <w:rsid w:val="00061966"/>
    <w:rsid w:val="00063CA7"/>
    <w:rsid w:val="00064A76"/>
    <w:rsid w:val="00064B71"/>
    <w:rsid w:val="000665A5"/>
    <w:rsid w:val="000713F9"/>
    <w:rsid w:val="00074760"/>
    <w:rsid w:val="00076C1C"/>
    <w:rsid w:val="000777B5"/>
    <w:rsid w:val="00077B50"/>
    <w:rsid w:val="0008199D"/>
    <w:rsid w:val="00082AAE"/>
    <w:rsid w:val="000851DF"/>
    <w:rsid w:val="0008574C"/>
    <w:rsid w:val="000863A3"/>
    <w:rsid w:val="000867D9"/>
    <w:rsid w:val="00086A66"/>
    <w:rsid w:val="00090456"/>
    <w:rsid w:val="000912E3"/>
    <w:rsid w:val="000913C7"/>
    <w:rsid w:val="000917AF"/>
    <w:rsid w:val="000921F7"/>
    <w:rsid w:val="000929F2"/>
    <w:rsid w:val="00096766"/>
    <w:rsid w:val="00096A60"/>
    <w:rsid w:val="000A0B24"/>
    <w:rsid w:val="000A2218"/>
    <w:rsid w:val="000A2333"/>
    <w:rsid w:val="000A2699"/>
    <w:rsid w:val="000A27A8"/>
    <w:rsid w:val="000A3F49"/>
    <w:rsid w:val="000A5052"/>
    <w:rsid w:val="000A519D"/>
    <w:rsid w:val="000A5493"/>
    <w:rsid w:val="000A65AD"/>
    <w:rsid w:val="000A6956"/>
    <w:rsid w:val="000A758E"/>
    <w:rsid w:val="000A79C7"/>
    <w:rsid w:val="000A79E4"/>
    <w:rsid w:val="000B11AE"/>
    <w:rsid w:val="000B236D"/>
    <w:rsid w:val="000B2A52"/>
    <w:rsid w:val="000B3100"/>
    <w:rsid w:val="000B33A3"/>
    <w:rsid w:val="000B3501"/>
    <w:rsid w:val="000B38EA"/>
    <w:rsid w:val="000B54E4"/>
    <w:rsid w:val="000B5F1D"/>
    <w:rsid w:val="000B77FE"/>
    <w:rsid w:val="000B7CB4"/>
    <w:rsid w:val="000C04EB"/>
    <w:rsid w:val="000C115A"/>
    <w:rsid w:val="000C124F"/>
    <w:rsid w:val="000C1CFF"/>
    <w:rsid w:val="000C2C07"/>
    <w:rsid w:val="000C31A2"/>
    <w:rsid w:val="000C3747"/>
    <w:rsid w:val="000C5AEE"/>
    <w:rsid w:val="000C7906"/>
    <w:rsid w:val="000C7A13"/>
    <w:rsid w:val="000C7E59"/>
    <w:rsid w:val="000D17E8"/>
    <w:rsid w:val="000D1BF1"/>
    <w:rsid w:val="000D229B"/>
    <w:rsid w:val="000D3892"/>
    <w:rsid w:val="000D4CA9"/>
    <w:rsid w:val="000D5095"/>
    <w:rsid w:val="000D677B"/>
    <w:rsid w:val="000D6E97"/>
    <w:rsid w:val="000E097D"/>
    <w:rsid w:val="000E1D3D"/>
    <w:rsid w:val="000E22FA"/>
    <w:rsid w:val="000E2B1B"/>
    <w:rsid w:val="000E3FF9"/>
    <w:rsid w:val="000E4E49"/>
    <w:rsid w:val="000E6BAC"/>
    <w:rsid w:val="000E6BED"/>
    <w:rsid w:val="000F05D7"/>
    <w:rsid w:val="000F0DC7"/>
    <w:rsid w:val="000F0F2D"/>
    <w:rsid w:val="000F1263"/>
    <w:rsid w:val="000F12CA"/>
    <w:rsid w:val="000F2A00"/>
    <w:rsid w:val="000F408A"/>
    <w:rsid w:val="000F6486"/>
    <w:rsid w:val="000F651C"/>
    <w:rsid w:val="000F6726"/>
    <w:rsid w:val="000F7D6C"/>
    <w:rsid w:val="00100F82"/>
    <w:rsid w:val="00100FB7"/>
    <w:rsid w:val="00101E02"/>
    <w:rsid w:val="001038AB"/>
    <w:rsid w:val="00103B78"/>
    <w:rsid w:val="00103EE7"/>
    <w:rsid w:val="00106BB9"/>
    <w:rsid w:val="00107800"/>
    <w:rsid w:val="00107B4A"/>
    <w:rsid w:val="00107D22"/>
    <w:rsid w:val="001109EB"/>
    <w:rsid w:val="001113C6"/>
    <w:rsid w:val="00112272"/>
    <w:rsid w:val="00112D95"/>
    <w:rsid w:val="0011338F"/>
    <w:rsid w:val="00113B4E"/>
    <w:rsid w:val="00114464"/>
    <w:rsid w:val="001144CC"/>
    <w:rsid w:val="00114CA5"/>
    <w:rsid w:val="0011733A"/>
    <w:rsid w:val="00117B5A"/>
    <w:rsid w:val="00117E29"/>
    <w:rsid w:val="00121661"/>
    <w:rsid w:val="00121B14"/>
    <w:rsid w:val="00124975"/>
    <w:rsid w:val="001249A9"/>
    <w:rsid w:val="00125105"/>
    <w:rsid w:val="001275F2"/>
    <w:rsid w:val="00130726"/>
    <w:rsid w:val="00130AF7"/>
    <w:rsid w:val="00130FA6"/>
    <w:rsid w:val="00132A8C"/>
    <w:rsid w:val="0013338D"/>
    <w:rsid w:val="00133662"/>
    <w:rsid w:val="00133AD5"/>
    <w:rsid w:val="001347C0"/>
    <w:rsid w:val="00135384"/>
    <w:rsid w:val="00136468"/>
    <w:rsid w:val="00136560"/>
    <w:rsid w:val="001375A6"/>
    <w:rsid w:val="0013795A"/>
    <w:rsid w:val="00140AA8"/>
    <w:rsid w:val="00141386"/>
    <w:rsid w:val="001422E8"/>
    <w:rsid w:val="001426F2"/>
    <w:rsid w:val="001428A0"/>
    <w:rsid w:val="00142DA0"/>
    <w:rsid w:val="00143095"/>
    <w:rsid w:val="00144C75"/>
    <w:rsid w:val="00145EDB"/>
    <w:rsid w:val="001465BA"/>
    <w:rsid w:val="001469D0"/>
    <w:rsid w:val="00151218"/>
    <w:rsid w:val="00152E8A"/>
    <w:rsid w:val="00152FEA"/>
    <w:rsid w:val="0015518A"/>
    <w:rsid w:val="001569FE"/>
    <w:rsid w:val="001572DD"/>
    <w:rsid w:val="00157DAB"/>
    <w:rsid w:val="001623C9"/>
    <w:rsid w:val="00165080"/>
    <w:rsid w:val="00165A5E"/>
    <w:rsid w:val="001667F1"/>
    <w:rsid w:val="00166938"/>
    <w:rsid w:val="00167262"/>
    <w:rsid w:val="00167E5D"/>
    <w:rsid w:val="001715B7"/>
    <w:rsid w:val="0017474F"/>
    <w:rsid w:val="0017475D"/>
    <w:rsid w:val="0017485F"/>
    <w:rsid w:val="001772EA"/>
    <w:rsid w:val="00177FF8"/>
    <w:rsid w:val="001803B2"/>
    <w:rsid w:val="00181ABE"/>
    <w:rsid w:val="00181B36"/>
    <w:rsid w:val="00181B44"/>
    <w:rsid w:val="001822C4"/>
    <w:rsid w:val="00182B1A"/>
    <w:rsid w:val="001833CD"/>
    <w:rsid w:val="001848E3"/>
    <w:rsid w:val="00184FAE"/>
    <w:rsid w:val="00187562"/>
    <w:rsid w:val="00190669"/>
    <w:rsid w:val="00191ED2"/>
    <w:rsid w:val="001929EA"/>
    <w:rsid w:val="0019315F"/>
    <w:rsid w:val="0019343E"/>
    <w:rsid w:val="0019396D"/>
    <w:rsid w:val="00193F69"/>
    <w:rsid w:val="00194DAF"/>
    <w:rsid w:val="001959DE"/>
    <w:rsid w:val="00195A65"/>
    <w:rsid w:val="00195B8F"/>
    <w:rsid w:val="00196E55"/>
    <w:rsid w:val="001A1305"/>
    <w:rsid w:val="001A232A"/>
    <w:rsid w:val="001A2940"/>
    <w:rsid w:val="001A356C"/>
    <w:rsid w:val="001A531B"/>
    <w:rsid w:val="001A60E6"/>
    <w:rsid w:val="001A6C3A"/>
    <w:rsid w:val="001A6F4D"/>
    <w:rsid w:val="001A7544"/>
    <w:rsid w:val="001A7A76"/>
    <w:rsid w:val="001A7F13"/>
    <w:rsid w:val="001B01A7"/>
    <w:rsid w:val="001B0779"/>
    <w:rsid w:val="001B1490"/>
    <w:rsid w:val="001B1E88"/>
    <w:rsid w:val="001B2E53"/>
    <w:rsid w:val="001B3046"/>
    <w:rsid w:val="001B46CB"/>
    <w:rsid w:val="001B4B5E"/>
    <w:rsid w:val="001B7D89"/>
    <w:rsid w:val="001C038F"/>
    <w:rsid w:val="001C17BB"/>
    <w:rsid w:val="001C3E69"/>
    <w:rsid w:val="001C480A"/>
    <w:rsid w:val="001C5819"/>
    <w:rsid w:val="001C6905"/>
    <w:rsid w:val="001C73EB"/>
    <w:rsid w:val="001D0418"/>
    <w:rsid w:val="001D0EEC"/>
    <w:rsid w:val="001D12D1"/>
    <w:rsid w:val="001D13C9"/>
    <w:rsid w:val="001D348E"/>
    <w:rsid w:val="001E0118"/>
    <w:rsid w:val="001E187A"/>
    <w:rsid w:val="001E19B9"/>
    <w:rsid w:val="001E2DF3"/>
    <w:rsid w:val="001E33AF"/>
    <w:rsid w:val="001E33CF"/>
    <w:rsid w:val="001E39AA"/>
    <w:rsid w:val="001E5C93"/>
    <w:rsid w:val="001E5DD1"/>
    <w:rsid w:val="001E6266"/>
    <w:rsid w:val="001F15B3"/>
    <w:rsid w:val="001F176D"/>
    <w:rsid w:val="001F22C8"/>
    <w:rsid w:val="001F2B5D"/>
    <w:rsid w:val="001F3D1B"/>
    <w:rsid w:val="001F4614"/>
    <w:rsid w:val="001F4845"/>
    <w:rsid w:val="001F4B47"/>
    <w:rsid w:val="001F4D2F"/>
    <w:rsid w:val="001F57C4"/>
    <w:rsid w:val="001F64C2"/>
    <w:rsid w:val="001F69F3"/>
    <w:rsid w:val="001F6B8A"/>
    <w:rsid w:val="00200EE1"/>
    <w:rsid w:val="0020243E"/>
    <w:rsid w:val="00202DC5"/>
    <w:rsid w:val="00203D83"/>
    <w:rsid w:val="00204CCB"/>
    <w:rsid w:val="00205618"/>
    <w:rsid w:val="00205B20"/>
    <w:rsid w:val="00205B67"/>
    <w:rsid w:val="00206A63"/>
    <w:rsid w:val="00210191"/>
    <w:rsid w:val="00210676"/>
    <w:rsid w:val="0021195E"/>
    <w:rsid w:val="002127EE"/>
    <w:rsid w:val="0021478D"/>
    <w:rsid w:val="00215C97"/>
    <w:rsid w:val="0021714B"/>
    <w:rsid w:val="00217E95"/>
    <w:rsid w:val="00220714"/>
    <w:rsid w:val="002207DE"/>
    <w:rsid w:val="00220C1C"/>
    <w:rsid w:val="0022480F"/>
    <w:rsid w:val="00226A0C"/>
    <w:rsid w:val="0023100B"/>
    <w:rsid w:val="00231746"/>
    <w:rsid w:val="00231BED"/>
    <w:rsid w:val="0023334D"/>
    <w:rsid w:val="00233C9C"/>
    <w:rsid w:val="0023579A"/>
    <w:rsid w:val="002357E2"/>
    <w:rsid w:val="00235C45"/>
    <w:rsid w:val="00236B1B"/>
    <w:rsid w:val="002371DD"/>
    <w:rsid w:val="002406CC"/>
    <w:rsid w:val="00241569"/>
    <w:rsid w:val="00241B96"/>
    <w:rsid w:val="00242D50"/>
    <w:rsid w:val="00243397"/>
    <w:rsid w:val="00243E87"/>
    <w:rsid w:val="0024493B"/>
    <w:rsid w:val="0024798F"/>
    <w:rsid w:val="00247DA9"/>
    <w:rsid w:val="00250A69"/>
    <w:rsid w:val="00252876"/>
    <w:rsid w:val="00253035"/>
    <w:rsid w:val="002555DE"/>
    <w:rsid w:val="002563EC"/>
    <w:rsid w:val="00256918"/>
    <w:rsid w:val="00256C7C"/>
    <w:rsid w:val="00256FEF"/>
    <w:rsid w:val="002576C6"/>
    <w:rsid w:val="0026193E"/>
    <w:rsid w:val="002632FE"/>
    <w:rsid w:val="00263402"/>
    <w:rsid w:val="00263F91"/>
    <w:rsid w:val="00264004"/>
    <w:rsid w:val="002647A8"/>
    <w:rsid w:val="00264DA6"/>
    <w:rsid w:val="002677F3"/>
    <w:rsid w:val="00267831"/>
    <w:rsid w:val="00267BC4"/>
    <w:rsid w:val="002732ED"/>
    <w:rsid w:val="00274CB9"/>
    <w:rsid w:val="0027510A"/>
    <w:rsid w:val="00280B01"/>
    <w:rsid w:val="00280E75"/>
    <w:rsid w:val="0028130C"/>
    <w:rsid w:val="00282663"/>
    <w:rsid w:val="00282BA1"/>
    <w:rsid w:val="0028331D"/>
    <w:rsid w:val="00283787"/>
    <w:rsid w:val="00284992"/>
    <w:rsid w:val="00284C8F"/>
    <w:rsid w:val="002853C4"/>
    <w:rsid w:val="0028583E"/>
    <w:rsid w:val="0028731A"/>
    <w:rsid w:val="002933CA"/>
    <w:rsid w:val="00293CF6"/>
    <w:rsid w:val="00293DF4"/>
    <w:rsid w:val="00294C41"/>
    <w:rsid w:val="00295623"/>
    <w:rsid w:val="00297C05"/>
    <w:rsid w:val="002A01B4"/>
    <w:rsid w:val="002A041C"/>
    <w:rsid w:val="002A0867"/>
    <w:rsid w:val="002A11E1"/>
    <w:rsid w:val="002A22AA"/>
    <w:rsid w:val="002A2EC2"/>
    <w:rsid w:val="002A725D"/>
    <w:rsid w:val="002B0649"/>
    <w:rsid w:val="002B0EB1"/>
    <w:rsid w:val="002B1B41"/>
    <w:rsid w:val="002B3949"/>
    <w:rsid w:val="002B3D38"/>
    <w:rsid w:val="002B3ECD"/>
    <w:rsid w:val="002B4D32"/>
    <w:rsid w:val="002B5A2C"/>
    <w:rsid w:val="002B5B4B"/>
    <w:rsid w:val="002C00D0"/>
    <w:rsid w:val="002C0676"/>
    <w:rsid w:val="002C1124"/>
    <w:rsid w:val="002C35F3"/>
    <w:rsid w:val="002C4EE5"/>
    <w:rsid w:val="002C5F03"/>
    <w:rsid w:val="002C6D60"/>
    <w:rsid w:val="002D3056"/>
    <w:rsid w:val="002D3E7C"/>
    <w:rsid w:val="002D44FC"/>
    <w:rsid w:val="002D5280"/>
    <w:rsid w:val="002D66CA"/>
    <w:rsid w:val="002D6DE4"/>
    <w:rsid w:val="002D7646"/>
    <w:rsid w:val="002D7AEB"/>
    <w:rsid w:val="002D7C0C"/>
    <w:rsid w:val="002D7E88"/>
    <w:rsid w:val="002E01E5"/>
    <w:rsid w:val="002E0D4D"/>
    <w:rsid w:val="002E1190"/>
    <w:rsid w:val="002E1AD8"/>
    <w:rsid w:val="002E279D"/>
    <w:rsid w:val="002E2F4C"/>
    <w:rsid w:val="002E67DE"/>
    <w:rsid w:val="002F2100"/>
    <w:rsid w:val="002F45E8"/>
    <w:rsid w:val="002F59A0"/>
    <w:rsid w:val="002F775D"/>
    <w:rsid w:val="002F78E6"/>
    <w:rsid w:val="002F7BAA"/>
    <w:rsid w:val="003023AE"/>
    <w:rsid w:val="00302B92"/>
    <w:rsid w:val="00302F6A"/>
    <w:rsid w:val="00304C2E"/>
    <w:rsid w:val="00307A65"/>
    <w:rsid w:val="00307D39"/>
    <w:rsid w:val="00307DED"/>
    <w:rsid w:val="00307E9C"/>
    <w:rsid w:val="003101E0"/>
    <w:rsid w:val="00310492"/>
    <w:rsid w:val="00310495"/>
    <w:rsid w:val="00312388"/>
    <w:rsid w:val="00314B6F"/>
    <w:rsid w:val="00316B92"/>
    <w:rsid w:val="00321109"/>
    <w:rsid w:val="003211D2"/>
    <w:rsid w:val="003223AB"/>
    <w:rsid w:val="003223D7"/>
    <w:rsid w:val="00324A2F"/>
    <w:rsid w:val="00324D9E"/>
    <w:rsid w:val="00326981"/>
    <w:rsid w:val="00326C10"/>
    <w:rsid w:val="0033188B"/>
    <w:rsid w:val="00332E10"/>
    <w:rsid w:val="003340A6"/>
    <w:rsid w:val="00334CA1"/>
    <w:rsid w:val="00335499"/>
    <w:rsid w:val="00335D5C"/>
    <w:rsid w:val="0034275B"/>
    <w:rsid w:val="00344479"/>
    <w:rsid w:val="00346774"/>
    <w:rsid w:val="00346B0B"/>
    <w:rsid w:val="00346B64"/>
    <w:rsid w:val="00346FFB"/>
    <w:rsid w:val="003470C3"/>
    <w:rsid w:val="0034713B"/>
    <w:rsid w:val="003502FF"/>
    <w:rsid w:val="003522F4"/>
    <w:rsid w:val="00352654"/>
    <w:rsid w:val="003542B0"/>
    <w:rsid w:val="0035558F"/>
    <w:rsid w:val="00356A60"/>
    <w:rsid w:val="00356EB2"/>
    <w:rsid w:val="00356FF4"/>
    <w:rsid w:val="00360477"/>
    <w:rsid w:val="003628A5"/>
    <w:rsid w:val="00363D7B"/>
    <w:rsid w:val="003667A0"/>
    <w:rsid w:val="00366F9E"/>
    <w:rsid w:val="003702A9"/>
    <w:rsid w:val="00371A20"/>
    <w:rsid w:val="0037229A"/>
    <w:rsid w:val="00372CC2"/>
    <w:rsid w:val="00372D85"/>
    <w:rsid w:val="00374731"/>
    <w:rsid w:val="003750A7"/>
    <w:rsid w:val="0038008F"/>
    <w:rsid w:val="0038042A"/>
    <w:rsid w:val="003806B8"/>
    <w:rsid w:val="00380EB2"/>
    <w:rsid w:val="0038107D"/>
    <w:rsid w:val="00381D96"/>
    <w:rsid w:val="003821BA"/>
    <w:rsid w:val="00386D56"/>
    <w:rsid w:val="003917AD"/>
    <w:rsid w:val="00391D6D"/>
    <w:rsid w:val="003924A1"/>
    <w:rsid w:val="00393FF1"/>
    <w:rsid w:val="003951FC"/>
    <w:rsid w:val="0039727B"/>
    <w:rsid w:val="003977FD"/>
    <w:rsid w:val="003A02C7"/>
    <w:rsid w:val="003A0E64"/>
    <w:rsid w:val="003A14C8"/>
    <w:rsid w:val="003A2347"/>
    <w:rsid w:val="003A525D"/>
    <w:rsid w:val="003A53C5"/>
    <w:rsid w:val="003A7ACD"/>
    <w:rsid w:val="003A7D29"/>
    <w:rsid w:val="003B5070"/>
    <w:rsid w:val="003B5392"/>
    <w:rsid w:val="003B5541"/>
    <w:rsid w:val="003B5842"/>
    <w:rsid w:val="003B72E2"/>
    <w:rsid w:val="003B740E"/>
    <w:rsid w:val="003C1D1D"/>
    <w:rsid w:val="003C1EBD"/>
    <w:rsid w:val="003C36F8"/>
    <w:rsid w:val="003C375B"/>
    <w:rsid w:val="003C436C"/>
    <w:rsid w:val="003C4839"/>
    <w:rsid w:val="003C5FF2"/>
    <w:rsid w:val="003C6413"/>
    <w:rsid w:val="003C66FB"/>
    <w:rsid w:val="003D06A5"/>
    <w:rsid w:val="003D120A"/>
    <w:rsid w:val="003D191B"/>
    <w:rsid w:val="003D290F"/>
    <w:rsid w:val="003D4FB5"/>
    <w:rsid w:val="003D71EF"/>
    <w:rsid w:val="003D7981"/>
    <w:rsid w:val="003D7B49"/>
    <w:rsid w:val="003E0440"/>
    <w:rsid w:val="003E1F21"/>
    <w:rsid w:val="003E2F7C"/>
    <w:rsid w:val="003E3C9C"/>
    <w:rsid w:val="003E572D"/>
    <w:rsid w:val="003E5A19"/>
    <w:rsid w:val="003E6231"/>
    <w:rsid w:val="003F0D24"/>
    <w:rsid w:val="003F143C"/>
    <w:rsid w:val="003F3531"/>
    <w:rsid w:val="003F3B07"/>
    <w:rsid w:val="003F4461"/>
    <w:rsid w:val="003F4BA8"/>
    <w:rsid w:val="003F54B9"/>
    <w:rsid w:val="003F58EB"/>
    <w:rsid w:val="003F6AC8"/>
    <w:rsid w:val="003F766A"/>
    <w:rsid w:val="003F7D92"/>
    <w:rsid w:val="00400D02"/>
    <w:rsid w:val="00401964"/>
    <w:rsid w:val="00401F13"/>
    <w:rsid w:val="0040350B"/>
    <w:rsid w:val="00403FE5"/>
    <w:rsid w:val="0040677F"/>
    <w:rsid w:val="00407930"/>
    <w:rsid w:val="00410BC4"/>
    <w:rsid w:val="004114B8"/>
    <w:rsid w:val="004115D8"/>
    <w:rsid w:val="004118CE"/>
    <w:rsid w:val="004139E6"/>
    <w:rsid w:val="004142E9"/>
    <w:rsid w:val="00414914"/>
    <w:rsid w:val="00414CE0"/>
    <w:rsid w:val="0041618D"/>
    <w:rsid w:val="004174FB"/>
    <w:rsid w:val="004176BF"/>
    <w:rsid w:val="00421DC2"/>
    <w:rsid w:val="00422196"/>
    <w:rsid w:val="0042462D"/>
    <w:rsid w:val="00424C90"/>
    <w:rsid w:val="00425197"/>
    <w:rsid w:val="00425552"/>
    <w:rsid w:val="00425E7D"/>
    <w:rsid w:val="004274C4"/>
    <w:rsid w:val="004300CD"/>
    <w:rsid w:val="0043027D"/>
    <w:rsid w:val="00432394"/>
    <w:rsid w:val="00432F7B"/>
    <w:rsid w:val="00434090"/>
    <w:rsid w:val="004344FC"/>
    <w:rsid w:val="004358E2"/>
    <w:rsid w:val="004364F5"/>
    <w:rsid w:val="0043765F"/>
    <w:rsid w:val="00437964"/>
    <w:rsid w:val="00440DEC"/>
    <w:rsid w:val="004412E9"/>
    <w:rsid w:val="00443653"/>
    <w:rsid w:val="00443C38"/>
    <w:rsid w:val="00444BE4"/>
    <w:rsid w:val="00444DC9"/>
    <w:rsid w:val="004456F3"/>
    <w:rsid w:val="004467F9"/>
    <w:rsid w:val="00447A88"/>
    <w:rsid w:val="0045053A"/>
    <w:rsid w:val="00450B29"/>
    <w:rsid w:val="00450D72"/>
    <w:rsid w:val="0045274D"/>
    <w:rsid w:val="00453DAE"/>
    <w:rsid w:val="004548B3"/>
    <w:rsid w:val="004560C2"/>
    <w:rsid w:val="00460BDB"/>
    <w:rsid w:val="004615FC"/>
    <w:rsid w:val="00461BDD"/>
    <w:rsid w:val="00463F3D"/>
    <w:rsid w:val="0046555E"/>
    <w:rsid w:val="004658A6"/>
    <w:rsid w:val="00465DD4"/>
    <w:rsid w:val="00465F1A"/>
    <w:rsid w:val="00466291"/>
    <w:rsid w:val="0046695C"/>
    <w:rsid w:val="00472B35"/>
    <w:rsid w:val="004737A4"/>
    <w:rsid w:val="004760B1"/>
    <w:rsid w:val="004768E9"/>
    <w:rsid w:val="004770FF"/>
    <w:rsid w:val="00477D15"/>
    <w:rsid w:val="00477E50"/>
    <w:rsid w:val="00480792"/>
    <w:rsid w:val="00480843"/>
    <w:rsid w:val="004825D5"/>
    <w:rsid w:val="00482BF1"/>
    <w:rsid w:val="0048324A"/>
    <w:rsid w:val="0048414B"/>
    <w:rsid w:val="004854AF"/>
    <w:rsid w:val="004860DD"/>
    <w:rsid w:val="00486FAC"/>
    <w:rsid w:val="00487A9C"/>
    <w:rsid w:val="00487FCF"/>
    <w:rsid w:val="00491993"/>
    <w:rsid w:val="004929A8"/>
    <w:rsid w:val="00494112"/>
    <w:rsid w:val="0049563B"/>
    <w:rsid w:val="00495ED5"/>
    <w:rsid w:val="004977CF"/>
    <w:rsid w:val="004A097B"/>
    <w:rsid w:val="004A296E"/>
    <w:rsid w:val="004A399E"/>
    <w:rsid w:val="004A448A"/>
    <w:rsid w:val="004A7F44"/>
    <w:rsid w:val="004B0094"/>
    <w:rsid w:val="004B01B5"/>
    <w:rsid w:val="004B0B4F"/>
    <w:rsid w:val="004B200A"/>
    <w:rsid w:val="004B3A0B"/>
    <w:rsid w:val="004B4007"/>
    <w:rsid w:val="004B7111"/>
    <w:rsid w:val="004C05B9"/>
    <w:rsid w:val="004C1B4D"/>
    <w:rsid w:val="004C2660"/>
    <w:rsid w:val="004C2710"/>
    <w:rsid w:val="004C3556"/>
    <w:rsid w:val="004C58A0"/>
    <w:rsid w:val="004C5AB5"/>
    <w:rsid w:val="004C6545"/>
    <w:rsid w:val="004C659D"/>
    <w:rsid w:val="004C6C55"/>
    <w:rsid w:val="004C7FA4"/>
    <w:rsid w:val="004D0815"/>
    <w:rsid w:val="004D1A35"/>
    <w:rsid w:val="004D1DC6"/>
    <w:rsid w:val="004D20BC"/>
    <w:rsid w:val="004D2247"/>
    <w:rsid w:val="004D3C23"/>
    <w:rsid w:val="004D42A0"/>
    <w:rsid w:val="004D43D5"/>
    <w:rsid w:val="004D5245"/>
    <w:rsid w:val="004D6B3F"/>
    <w:rsid w:val="004D7834"/>
    <w:rsid w:val="004D7885"/>
    <w:rsid w:val="004E0814"/>
    <w:rsid w:val="004E0CD3"/>
    <w:rsid w:val="004E2359"/>
    <w:rsid w:val="004E2AA3"/>
    <w:rsid w:val="004E3DC3"/>
    <w:rsid w:val="004E3E6F"/>
    <w:rsid w:val="004E400C"/>
    <w:rsid w:val="004E47F8"/>
    <w:rsid w:val="004E4A35"/>
    <w:rsid w:val="004E4DDE"/>
    <w:rsid w:val="004E51CD"/>
    <w:rsid w:val="004E76CF"/>
    <w:rsid w:val="004F0274"/>
    <w:rsid w:val="004F1549"/>
    <w:rsid w:val="004F6C45"/>
    <w:rsid w:val="004F75DD"/>
    <w:rsid w:val="005003AC"/>
    <w:rsid w:val="00500E4D"/>
    <w:rsid w:val="005012DC"/>
    <w:rsid w:val="00501549"/>
    <w:rsid w:val="00501EE0"/>
    <w:rsid w:val="00503551"/>
    <w:rsid w:val="0050401A"/>
    <w:rsid w:val="00504F0F"/>
    <w:rsid w:val="00505297"/>
    <w:rsid w:val="00506E31"/>
    <w:rsid w:val="00507049"/>
    <w:rsid w:val="0050751E"/>
    <w:rsid w:val="00507C88"/>
    <w:rsid w:val="005119E1"/>
    <w:rsid w:val="00511B63"/>
    <w:rsid w:val="005127F1"/>
    <w:rsid w:val="00513E19"/>
    <w:rsid w:val="005151CA"/>
    <w:rsid w:val="005157B6"/>
    <w:rsid w:val="005207DF"/>
    <w:rsid w:val="00520BCB"/>
    <w:rsid w:val="005210E1"/>
    <w:rsid w:val="00522F4F"/>
    <w:rsid w:val="00526C8A"/>
    <w:rsid w:val="0052716B"/>
    <w:rsid w:val="00527A50"/>
    <w:rsid w:val="0053010D"/>
    <w:rsid w:val="00530C06"/>
    <w:rsid w:val="0053376C"/>
    <w:rsid w:val="005340AF"/>
    <w:rsid w:val="00534783"/>
    <w:rsid w:val="00535335"/>
    <w:rsid w:val="00535724"/>
    <w:rsid w:val="005357DC"/>
    <w:rsid w:val="00535A4C"/>
    <w:rsid w:val="00536114"/>
    <w:rsid w:val="005367B0"/>
    <w:rsid w:val="00536F46"/>
    <w:rsid w:val="0053775F"/>
    <w:rsid w:val="00542923"/>
    <w:rsid w:val="00542C2B"/>
    <w:rsid w:val="005433B8"/>
    <w:rsid w:val="005451B2"/>
    <w:rsid w:val="00545442"/>
    <w:rsid w:val="005461FC"/>
    <w:rsid w:val="00546994"/>
    <w:rsid w:val="00550051"/>
    <w:rsid w:val="0055012B"/>
    <w:rsid w:val="00551078"/>
    <w:rsid w:val="00551EDF"/>
    <w:rsid w:val="00552551"/>
    <w:rsid w:val="005527C6"/>
    <w:rsid w:val="00552841"/>
    <w:rsid w:val="005534E0"/>
    <w:rsid w:val="00553F3F"/>
    <w:rsid w:val="005544CC"/>
    <w:rsid w:val="00556798"/>
    <w:rsid w:val="005574F6"/>
    <w:rsid w:val="00560FB0"/>
    <w:rsid w:val="0056141B"/>
    <w:rsid w:val="00561675"/>
    <w:rsid w:val="005618CC"/>
    <w:rsid w:val="00562183"/>
    <w:rsid w:val="005624B8"/>
    <w:rsid w:val="005625DE"/>
    <w:rsid w:val="0056277E"/>
    <w:rsid w:val="00562DB4"/>
    <w:rsid w:val="00564018"/>
    <w:rsid w:val="005647A7"/>
    <w:rsid w:val="00564990"/>
    <w:rsid w:val="005667BC"/>
    <w:rsid w:val="0056697E"/>
    <w:rsid w:val="005677DE"/>
    <w:rsid w:val="00570484"/>
    <w:rsid w:val="00570BBB"/>
    <w:rsid w:val="005723F6"/>
    <w:rsid w:val="00572558"/>
    <w:rsid w:val="00573221"/>
    <w:rsid w:val="0057490B"/>
    <w:rsid w:val="00574BE5"/>
    <w:rsid w:val="00574F30"/>
    <w:rsid w:val="00575016"/>
    <w:rsid w:val="00575252"/>
    <w:rsid w:val="005763E2"/>
    <w:rsid w:val="005765D0"/>
    <w:rsid w:val="00577308"/>
    <w:rsid w:val="005800BA"/>
    <w:rsid w:val="0058064C"/>
    <w:rsid w:val="005823B7"/>
    <w:rsid w:val="005829CA"/>
    <w:rsid w:val="00583283"/>
    <w:rsid w:val="00583355"/>
    <w:rsid w:val="00583CD5"/>
    <w:rsid w:val="005855F1"/>
    <w:rsid w:val="00586444"/>
    <w:rsid w:val="005865EC"/>
    <w:rsid w:val="00586657"/>
    <w:rsid w:val="0058670E"/>
    <w:rsid w:val="00586F1C"/>
    <w:rsid w:val="00586F5D"/>
    <w:rsid w:val="00587203"/>
    <w:rsid w:val="00587337"/>
    <w:rsid w:val="00587857"/>
    <w:rsid w:val="005878FE"/>
    <w:rsid w:val="005900B4"/>
    <w:rsid w:val="00590720"/>
    <w:rsid w:val="0059089E"/>
    <w:rsid w:val="00590AE8"/>
    <w:rsid w:val="00591521"/>
    <w:rsid w:val="0059450A"/>
    <w:rsid w:val="005957D5"/>
    <w:rsid w:val="005959E9"/>
    <w:rsid w:val="00596AB0"/>
    <w:rsid w:val="005A082F"/>
    <w:rsid w:val="005A0C01"/>
    <w:rsid w:val="005A1C16"/>
    <w:rsid w:val="005A1D75"/>
    <w:rsid w:val="005A26AA"/>
    <w:rsid w:val="005A2C45"/>
    <w:rsid w:val="005A4A81"/>
    <w:rsid w:val="005A4B8E"/>
    <w:rsid w:val="005A54BB"/>
    <w:rsid w:val="005A5B4E"/>
    <w:rsid w:val="005A6B07"/>
    <w:rsid w:val="005A7210"/>
    <w:rsid w:val="005A725A"/>
    <w:rsid w:val="005A7777"/>
    <w:rsid w:val="005B0A54"/>
    <w:rsid w:val="005B1775"/>
    <w:rsid w:val="005B1C63"/>
    <w:rsid w:val="005B263F"/>
    <w:rsid w:val="005B3E3B"/>
    <w:rsid w:val="005B4334"/>
    <w:rsid w:val="005B4BBB"/>
    <w:rsid w:val="005B6B62"/>
    <w:rsid w:val="005B6E9C"/>
    <w:rsid w:val="005B6F41"/>
    <w:rsid w:val="005C0087"/>
    <w:rsid w:val="005C230C"/>
    <w:rsid w:val="005C2464"/>
    <w:rsid w:val="005C29BD"/>
    <w:rsid w:val="005C34CA"/>
    <w:rsid w:val="005C3849"/>
    <w:rsid w:val="005C4F42"/>
    <w:rsid w:val="005C7572"/>
    <w:rsid w:val="005C7ACE"/>
    <w:rsid w:val="005C7C84"/>
    <w:rsid w:val="005D02DA"/>
    <w:rsid w:val="005D116B"/>
    <w:rsid w:val="005D26D7"/>
    <w:rsid w:val="005D35CA"/>
    <w:rsid w:val="005D3B72"/>
    <w:rsid w:val="005D77F6"/>
    <w:rsid w:val="005E00AF"/>
    <w:rsid w:val="005E02FA"/>
    <w:rsid w:val="005E0DB1"/>
    <w:rsid w:val="005E118F"/>
    <w:rsid w:val="005E1638"/>
    <w:rsid w:val="005E2330"/>
    <w:rsid w:val="005E23D8"/>
    <w:rsid w:val="005E2670"/>
    <w:rsid w:val="005E3E8A"/>
    <w:rsid w:val="005E3F16"/>
    <w:rsid w:val="005E5E7B"/>
    <w:rsid w:val="005E6C90"/>
    <w:rsid w:val="005E7AC5"/>
    <w:rsid w:val="005F0D7E"/>
    <w:rsid w:val="005F1FC7"/>
    <w:rsid w:val="005F707C"/>
    <w:rsid w:val="0060095E"/>
    <w:rsid w:val="00602551"/>
    <w:rsid w:val="00605D65"/>
    <w:rsid w:val="0060726A"/>
    <w:rsid w:val="00607392"/>
    <w:rsid w:val="006073BF"/>
    <w:rsid w:val="00610A54"/>
    <w:rsid w:val="006111F7"/>
    <w:rsid w:val="00611412"/>
    <w:rsid w:val="00612ABA"/>
    <w:rsid w:val="006161E4"/>
    <w:rsid w:val="00617AB6"/>
    <w:rsid w:val="00620AE6"/>
    <w:rsid w:val="006210FA"/>
    <w:rsid w:val="0062186C"/>
    <w:rsid w:val="00621CB6"/>
    <w:rsid w:val="00621CF4"/>
    <w:rsid w:val="00622359"/>
    <w:rsid w:val="00625146"/>
    <w:rsid w:val="006259B0"/>
    <w:rsid w:val="006262CA"/>
    <w:rsid w:val="006265DF"/>
    <w:rsid w:val="006268E0"/>
    <w:rsid w:val="00627213"/>
    <w:rsid w:val="0063155C"/>
    <w:rsid w:val="0063653E"/>
    <w:rsid w:val="00636A0D"/>
    <w:rsid w:val="00636D6E"/>
    <w:rsid w:val="00641603"/>
    <w:rsid w:val="00642372"/>
    <w:rsid w:val="00642752"/>
    <w:rsid w:val="00642908"/>
    <w:rsid w:val="006457E4"/>
    <w:rsid w:val="00647434"/>
    <w:rsid w:val="006475DD"/>
    <w:rsid w:val="00650B3E"/>
    <w:rsid w:val="00653057"/>
    <w:rsid w:val="00653595"/>
    <w:rsid w:val="0065370D"/>
    <w:rsid w:val="00653CED"/>
    <w:rsid w:val="00655F3A"/>
    <w:rsid w:val="006562AE"/>
    <w:rsid w:val="00656950"/>
    <w:rsid w:val="00656CC4"/>
    <w:rsid w:val="006601DA"/>
    <w:rsid w:val="00660757"/>
    <w:rsid w:val="00660BAA"/>
    <w:rsid w:val="00661401"/>
    <w:rsid w:val="00661CA4"/>
    <w:rsid w:val="006621AD"/>
    <w:rsid w:val="00662978"/>
    <w:rsid w:val="00662BCE"/>
    <w:rsid w:val="00662C64"/>
    <w:rsid w:val="006658AB"/>
    <w:rsid w:val="006704CA"/>
    <w:rsid w:val="00670E7D"/>
    <w:rsid w:val="006711ED"/>
    <w:rsid w:val="00671C21"/>
    <w:rsid w:val="006748D3"/>
    <w:rsid w:val="0067666A"/>
    <w:rsid w:val="006768A0"/>
    <w:rsid w:val="00677068"/>
    <w:rsid w:val="00680421"/>
    <w:rsid w:val="00680E8A"/>
    <w:rsid w:val="00681259"/>
    <w:rsid w:val="00682149"/>
    <w:rsid w:val="006834B7"/>
    <w:rsid w:val="00684C7D"/>
    <w:rsid w:val="00684D1A"/>
    <w:rsid w:val="00685108"/>
    <w:rsid w:val="0068539E"/>
    <w:rsid w:val="00685C96"/>
    <w:rsid w:val="00686391"/>
    <w:rsid w:val="00686954"/>
    <w:rsid w:val="00687552"/>
    <w:rsid w:val="00691F9A"/>
    <w:rsid w:val="006921F8"/>
    <w:rsid w:val="00692230"/>
    <w:rsid w:val="0069249A"/>
    <w:rsid w:val="00693E11"/>
    <w:rsid w:val="00694857"/>
    <w:rsid w:val="00695DC1"/>
    <w:rsid w:val="00696550"/>
    <w:rsid w:val="006975AE"/>
    <w:rsid w:val="00697727"/>
    <w:rsid w:val="00697BAC"/>
    <w:rsid w:val="006A142E"/>
    <w:rsid w:val="006A1C78"/>
    <w:rsid w:val="006A3395"/>
    <w:rsid w:val="006A53C7"/>
    <w:rsid w:val="006A7153"/>
    <w:rsid w:val="006A71E3"/>
    <w:rsid w:val="006A7691"/>
    <w:rsid w:val="006A7F8E"/>
    <w:rsid w:val="006B0803"/>
    <w:rsid w:val="006B0C55"/>
    <w:rsid w:val="006B3206"/>
    <w:rsid w:val="006B34CA"/>
    <w:rsid w:val="006B455A"/>
    <w:rsid w:val="006C0016"/>
    <w:rsid w:val="006C0422"/>
    <w:rsid w:val="006C1351"/>
    <w:rsid w:val="006C28E5"/>
    <w:rsid w:val="006C2FDF"/>
    <w:rsid w:val="006C3EC0"/>
    <w:rsid w:val="006C4292"/>
    <w:rsid w:val="006C46CE"/>
    <w:rsid w:val="006C54E4"/>
    <w:rsid w:val="006C5924"/>
    <w:rsid w:val="006C7DCF"/>
    <w:rsid w:val="006D109C"/>
    <w:rsid w:val="006D22D2"/>
    <w:rsid w:val="006D2757"/>
    <w:rsid w:val="006D2869"/>
    <w:rsid w:val="006D59FE"/>
    <w:rsid w:val="006D6503"/>
    <w:rsid w:val="006D6794"/>
    <w:rsid w:val="006D7C12"/>
    <w:rsid w:val="006D7EAC"/>
    <w:rsid w:val="006E0F82"/>
    <w:rsid w:val="006E295C"/>
    <w:rsid w:val="006E2B2D"/>
    <w:rsid w:val="006E2DC5"/>
    <w:rsid w:val="006E4527"/>
    <w:rsid w:val="006E4C0A"/>
    <w:rsid w:val="006E6B9A"/>
    <w:rsid w:val="006E7284"/>
    <w:rsid w:val="006F039F"/>
    <w:rsid w:val="006F14DE"/>
    <w:rsid w:val="006F1BBD"/>
    <w:rsid w:val="006F249A"/>
    <w:rsid w:val="006F2D86"/>
    <w:rsid w:val="006F2F5C"/>
    <w:rsid w:val="006F31A0"/>
    <w:rsid w:val="006F3316"/>
    <w:rsid w:val="006F3833"/>
    <w:rsid w:val="006F5977"/>
    <w:rsid w:val="006F6E8C"/>
    <w:rsid w:val="006F796E"/>
    <w:rsid w:val="0070250E"/>
    <w:rsid w:val="00702CFA"/>
    <w:rsid w:val="00704AF2"/>
    <w:rsid w:val="00706D88"/>
    <w:rsid w:val="00707E1B"/>
    <w:rsid w:val="007101E0"/>
    <w:rsid w:val="00710C75"/>
    <w:rsid w:val="0071148B"/>
    <w:rsid w:val="0071163D"/>
    <w:rsid w:val="00711BFC"/>
    <w:rsid w:val="007136FE"/>
    <w:rsid w:val="00713FB0"/>
    <w:rsid w:val="00714CE7"/>
    <w:rsid w:val="007152D1"/>
    <w:rsid w:val="0071579C"/>
    <w:rsid w:val="00715EFA"/>
    <w:rsid w:val="0071677D"/>
    <w:rsid w:val="00717ED8"/>
    <w:rsid w:val="00721040"/>
    <w:rsid w:val="00722DCA"/>
    <w:rsid w:val="00724768"/>
    <w:rsid w:val="00725242"/>
    <w:rsid w:val="00725718"/>
    <w:rsid w:val="0072782D"/>
    <w:rsid w:val="00727FFA"/>
    <w:rsid w:val="00730C96"/>
    <w:rsid w:val="00733193"/>
    <w:rsid w:val="00733408"/>
    <w:rsid w:val="00733D50"/>
    <w:rsid w:val="0073402C"/>
    <w:rsid w:val="0073413F"/>
    <w:rsid w:val="0073437A"/>
    <w:rsid w:val="00735014"/>
    <w:rsid w:val="0073508E"/>
    <w:rsid w:val="00736964"/>
    <w:rsid w:val="00736DFE"/>
    <w:rsid w:val="00737B2A"/>
    <w:rsid w:val="00740BE3"/>
    <w:rsid w:val="007411DC"/>
    <w:rsid w:val="00743FAD"/>
    <w:rsid w:val="00746248"/>
    <w:rsid w:val="007502CD"/>
    <w:rsid w:val="00750CFA"/>
    <w:rsid w:val="00750EBB"/>
    <w:rsid w:val="00750F1B"/>
    <w:rsid w:val="00751B73"/>
    <w:rsid w:val="00751FE2"/>
    <w:rsid w:val="007533E0"/>
    <w:rsid w:val="00753AC0"/>
    <w:rsid w:val="00754A39"/>
    <w:rsid w:val="0075574D"/>
    <w:rsid w:val="00755FE3"/>
    <w:rsid w:val="00757651"/>
    <w:rsid w:val="007577F7"/>
    <w:rsid w:val="00757BAC"/>
    <w:rsid w:val="00760BEA"/>
    <w:rsid w:val="007617A2"/>
    <w:rsid w:val="00761C7C"/>
    <w:rsid w:val="00761D78"/>
    <w:rsid w:val="00762236"/>
    <w:rsid w:val="007623FE"/>
    <w:rsid w:val="00762DDF"/>
    <w:rsid w:val="00765A35"/>
    <w:rsid w:val="00765C9E"/>
    <w:rsid w:val="00765D8F"/>
    <w:rsid w:val="00766EE6"/>
    <w:rsid w:val="0076798C"/>
    <w:rsid w:val="007705C5"/>
    <w:rsid w:val="00772B01"/>
    <w:rsid w:val="007736A9"/>
    <w:rsid w:val="00773935"/>
    <w:rsid w:val="00774559"/>
    <w:rsid w:val="0077626D"/>
    <w:rsid w:val="0077663D"/>
    <w:rsid w:val="0077710D"/>
    <w:rsid w:val="00780BB4"/>
    <w:rsid w:val="00781F5E"/>
    <w:rsid w:val="00782441"/>
    <w:rsid w:val="00782C07"/>
    <w:rsid w:val="007838A3"/>
    <w:rsid w:val="00783E80"/>
    <w:rsid w:val="00785984"/>
    <w:rsid w:val="007859F2"/>
    <w:rsid w:val="007862AA"/>
    <w:rsid w:val="00786700"/>
    <w:rsid w:val="007913A4"/>
    <w:rsid w:val="00792032"/>
    <w:rsid w:val="007931E8"/>
    <w:rsid w:val="00793A1A"/>
    <w:rsid w:val="007950C4"/>
    <w:rsid w:val="00795D67"/>
    <w:rsid w:val="007964FE"/>
    <w:rsid w:val="00796DD1"/>
    <w:rsid w:val="007A10F8"/>
    <w:rsid w:val="007A1644"/>
    <w:rsid w:val="007A2DA1"/>
    <w:rsid w:val="007A41D5"/>
    <w:rsid w:val="007A4E8D"/>
    <w:rsid w:val="007A5727"/>
    <w:rsid w:val="007A7CBE"/>
    <w:rsid w:val="007B0EE4"/>
    <w:rsid w:val="007B1C99"/>
    <w:rsid w:val="007B26A3"/>
    <w:rsid w:val="007B404C"/>
    <w:rsid w:val="007B4889"/>
    <w:rsid w:val="007B4930"/>
    <w:rsid w:val="007B49F4"/>
    <w:rsid w:val="007B5D96"/>
    <w:rsid w:val="007B6ED5"/>
    <w:rsid w:val="007C0068"/>
    <w:rsid w:val="007C0AB5"/>
    <w:rsid w:val="007C0F28"/>
    <w:rsid w:val="007C1679"/>
    <w:rsid w:val="007C1B67"/>
    <w:rsid w:val="007C38B7"/>
    <w:rsid w:val="007C45B2"/>
    <w:rsid w:val="007C7775"/>
    <w:rsid w:val="007C7C70"/>
    <w:rsid w:val="007D0818"/>
    <w:rsid w:val="007D29AE"/>
    <w:rsid w:val="007D3391"/>
    <w:rsid w:val="007D47AD"/>
    <w:rsid w:val="007D4A8F"/>
    <w:rsid w:val="007D63BE"/>
    <w:rsid w:val="007D6BF4"/>
    <w:rsid w:val="007D777E"/>
    <w:rsid w:val="007D79DD"/>
    <w:rsid w:val="007D7C02"/>
    <w:rsid w:val="007E0F64"/>
    <w:rsid w:val="007E28B9"/>
    <w:rsid w:val="007E5505"/>
    <w:rsid w:val="007E58B3"/>
    <w:rsid w:val="007E59EC"/>
    <w:rsid w:val="007E5D0D"/>
    <w:rsid w:val="007E5F3D"/>
    <w:rsid w:val="007E6660"/>
    <w:rsid w:val="007E7A79"/>
    <w:rsid w:val="007F038A"/>
    <w:rsid w:val="007F0EC2"/>
    <w:rsid w:val="007F105C"/>
    <w:rsid w:val="007F19AB"/>
    <w:rsid w:val="007F1F71"/>
    <w:rsid w:val="007F27C2"/>
    <w:rsid w:val="007F2E04"/>
    <w:rsid w:val="007F302E"/>
    <w:rsid w:val="007F324E"/>
    <w:rsid w:val="007F4BD5"/>
    <w:rsid w:val="007F4C32"/>
    <w:rsid w:val="007F5EDA"/>
    <w:rsid w:val="007F6740"/>
    <w:rsid w:val="007F6BCC"/>
    <w:rsid w:val="007F7596"/>
    <w:rsid w:val="007F7B09"/>
    <w:rsid w:val="007F7DD5"/>
    <w:rsid w:val="00800F38"/>
    <w:rsid w:val="008011B7"/>
    <w:rsid w:val="00801906"/>
    <w:rsid w:val="0080327E"/>
    <w:rsid w:val="00803F93"/>
    <w:rsid w:val="00804295"/>
    <w:rsid w:val="00804FB2"/>
    <w:rsid w:val="008051E1"/>
    <w:rsid w:val="00805EC8"/>
    <w:rsid w:val="008064A6"/>
    <w:rsid w:val="0080677C"/>
    <w:rsid w:val="008072AB"/>
    <w:rsid w:val="008076FF"/>
    <w:rsid w:val="00807D6F"/>
    <w:rsid w:val="0081050A"/>
    <w:rsid w:val="008105F5"/>
    <w:rsid w:val="00811146"/>
    <w:rsid w:val="008121DA"/>
    <w:rsid w:val="00812CCC"/>
    <w:rsid w:val="00812F4D"/>
    <w:rsid w:val="00813E0D"/>
    <w:rsid w:val="0081448C"/>
    <w:rsid w:val="00815E0B"/>
    <w:rsid w:val="00820FA3"/>
    <w:rsid w:val="00822414"/>
    <w:rsid w:val="008228DC"/>
    <w:rsid w:val="00825D0A"/>
    <w:rsid w:val="00825DFF"/>
    <w:rsid w:val="00826615"/>
    <w:rsid w:val="0082713F"/>
    <w:rsid w:val="00827F52"/>
    <w:rsid w:val="0083136F"/>
    <w:rsid w:val="008315D2"/>
    <w:rsid w:val="008318EF"/>
    <w:rsid w:val="00833100"/>
    <w:rsid w:val="0083518D"/>
    <w:rsid w:val="008358FA"/>
    <w:rsid w:val="0083609A"/>
    <w:rsid w:val="0083702B"/>
    <w:rsid w:val="00837932"/>
    <w:rsid w:val="00841408"/>
    <w:rsid w:val="00841F85"/>
    <w:rsid w:val="00842D27"/>
    <w:rsid w:val="00842E3B"/>
    <w:rsid w:val="00844736"/>
    <w:rsid w:val="00847A6F"/>
    <w:rsid w:val="00851A78"/>
    <w:rsid w:val="00852DFD"/>
    <w:rsid w:val="00857AB5"/>
    <w:rsid w:val="00860411"/>
    <w:rsid w:val="00860D89"/>
    <w:rsid w:val="008613C3"/>
    <w:rsid w:val="00862681"/>
    <w:rsid w:val="00863E92"/>
    <w:rsid w:val="00864763"/>
    <w:rsid w:val="00866AC4"/>
    <w:rsid w:val="00866C6D"/>
    <w:rsid w:val="00866F18"/>
    <w:rsid w:val="00867C71"/>
    <w:rsid w:val="008703E2"/>
    <w:rsid w:val="008706D6"/>
    <w:rsid w:val="008720DB"/>
    <w:rsid w:val="00880089"/>
    <w:rsid w:val="00881490"/>
    <w:rsid w:val="008814BB"/>
    <w:rsid w:val="00881BE8"/>
    <w:rsid w:val="00881F14"/>
    <w:rsid w:val="00882289"/>
    <w:rsid w:val="008839B7"/>
    <w:rsid w:val="00883AA0"/>
    <w:rsid w:val="008843E3"/>
    <w:rsid w:val="008848E4"/>
    <w:rsid w:val="00884C8E"/>
    <w:rsid w:val="00884F00"/>
    <w:rsid w:val="0088656A"/>
    <w:rsid w:val="008867FF"/>
    <w:rsid w:val="00887360"/>
    <w:rsid w:val="00887378"/>
    <w:rsid w:val="00890D12"/>
    <w:rsid w:val="0089220D"/>
    <w:rsid w:val="00894AFD"/>
    <w:rsid w:val="00896C93"/>
    <w:rsid w:val="00897090"/>
    <w:rsid w:val="008A120C"/>
    <w:rsid w:val="008A1CF8"/>
    <w:rsid w:val="008A2FFC"/>
    <w:rsid w:val="008A320E"/>
    <w:rsid w:val="008A5B20"/>
    <w:rsid w:val="008A62C8"/>
    <w:rsid w:val="008A63A8"/>
    <w:rsid w:val="008A672F"/>
    <w:rsid w:val="008A67DB"/>
    <w:rsid w:val="008A7038"/>
    <w:rsid w:val="008A730C"/>
    <w:rsid w:val="008A7D3F"/>
    <w:rsid w:val="008B1695"/>
    <w:rsid w:val="008B198C"/>
    <w:rsid w:val="008B2AFC"/>
    <w:rsid w:val="008B3098"/>
    <w:rsid w:val="008B314A"/>
    <w:rsid w:val="008B4179"/>
    <w:rsid w:val="008B5F3E"/>
    <w:rsid w:val="008B6AA7"/>
    <w:rsid w:val="008C11AE"/>
    <w:rsid w:val="008C1D97"/>
    <w:rsid w:val="008C22D1"/>
    <w:rsid w:val="008C25F8"/>
    <w:rsid w:val="008C7329"/>
    <w:rsid w:val="008C7DF7"/>
    <w:rsid w:val="008D00E5"/>
    <w:rsid w:val="008D059A"/>
    <w:rsid w:val="008D0BF8"/>
    <w:rsid w:val="008D10C5"/>
    <w:rsid w:val="008D2850"/>
    <w:rsid w:val="008D5177"/>
    <w:rsid w:val="008D5471"/>
    <w:rsid w:val="008D560E"/>
    <w:rsid w:val="008D5712"/>
    <w:rsid w:val="008D575D"/>
    <w:rsid w:val="008D57F4"/>
    <w:rsid w:val="008D5C89"/>
    <w:rsid w:val="008D75D9"/>
    <w:rsid w:val="008D7CB1"/>
    <w:rsid w:val="008E11CC"/>
    <w:rsid w:val="008E129C"/>
    <w:rsid w:val="008E1EC9"/>
    <w:rsid w:val="008E42F0"/>
    <w:rsid w:val="008E619E"/>
    <w:rsid w:val="008E6AE2"/>
    <w:rsid w:val="008F10AF"/>
    <w:rsid w:val="008F1980"/>
    <w:rsid w:val="008F2807"/>
    <w:rsid w:val="008F28A3"/>
    <w:rsid w:val="008F2A92"/>
    <w:rsid w:val="008F3CCD"/>
    <w:rsid w:val="008F3D89"/>
    <w:rsid w:val="008F46C2"/>
    <w:rsid w:val="008F5728"/>
    <w:rsid w:val="008F655F"/>
    <w:rsid w:val="008F6E75"/>
    <w:rsid w:val="008F783C"/>
    <w:rsid w:val="009028CB"/>
    <w:rsid w:val="00903CE3"/>
    <w:rsid w:val="009041BA"/>
    <w:rsid w:val="009041C9"/>
    <w:rsid w:val="00905A62"/>
    <w:rsid w:val="0090730A"/>
    <w:rsid w:val="00907E6F"/>
    <w:rsid w:val="00911A2D"/>
    <w:rsid w:val="00911D2D"/>
    <w:rsid w:val="00912026"/>
    <w:rsid w:val="0091211F"/>
    <w:rsid w:val="00913A66"/>
    <w:rsid w:val="00914687"/>
    <w:rsid w:val="0091567F"/>
    <w:rsid w:val="00915A1B"/>
    <w:rsid w:val="00916761"/>
    <w:rsid w:val="00917420"/>
    <w:rsid w:val="00917956"/>
    <w:rsid w:val="00920490"/>
    <w:rsid w:val="00920767"/>
    <w:rsid w:val="009219F3"/>
    <w:rsid w:val="00923BB9"/>
    <w:rsid w:val="00924380"/>
    <w:rsid w:val="00924C73"/>
    <w:rsid w:val="00925FDA"/>
    <w:rsid w:val="00927639"/>
    <w:rsid w:val="00930D61"/>
    <w:rsid w:val="0093132A"/>
    <w:rsid w:val="009332F0"/>
    <w:rsid w:val="00933480"/>
    <w:rsid w:val="009341E1"/>
    <w:rsid w:val="009355E3"/>
    <w:rsid w:val="00936492"/>
    <w:rsid w:val="009366A2"/>
    <w:rsid w:val="00940941"/>
    <w:rsid w:val="009413C1"/>
    <w:rsid w:val="009431EF"/>
    <w:rsid w:val="009431FE"/>
    <w:rsid w:val="009435F3"/>
    <w:rsid w:val="0094498E"/>
    <w:rsid w:val="00944FA1"/>
    <w:rsid w:val="00947D07"/>
    <w:rsid w:val="00947D1A"/>
    <w:rsid w:val="009519EB"/>
    <w:rsid w:val="00951C29"/>
    <w:rsid w:val="00952DEF"/>
    <w:rsid w:val="00953B5B"/>
    <w:rsid w:val="00954198"/>
    <w:rsid w:val="00954AF5"/>
    <w:rsid w:val="00955333"/>
    <w:rsid w:val="009569CE"/>
    <w:rsid w:val="00960969"/>
    <w:rsid w:val="00961439"/>
    <w:rsid w:val="009628FB"/>
    <w:rsid w:val="00963B79"/>
    <w:rsid w:val="0096411E"/>
    <w:rsid w:val="009647A2"/>
    <w:rsid w:val="00965951"/>
    <w:rsid w:val="00966BE7"/>
    <w:rsid w:val="009679E5"/>
    <w:rsid w:val="009706B9"/>
    <w:rsid w:val="009711B3"/>
    <w:rsid w:val="00971BB7"/>
    <w:rsid w:val="009726F9"/>
    <w:rsid w:val="00972B8A"/>
    <w:rsid w:val="0097786B"/>
    <w:rsid w:val="00980213"/>
    <w:rsid w:val="009820F0"/>
    <w:rsid w:val="00982B91"/>
    <w:rsid w:val="0098363F"/>
    <w:rsid w:val="0098745C"/>
    <w:rsid w:val="00987C32"/>
    <w:rsid w:val="0099047F"/>
    <w:rsid w:val="00992F76"/>
    <w:rsid w:val="00993129"/>
    <w:rsid w:val="00994302"/>
    <w:rsid w:val="009943FE"/>
    <w:rsid w:val="00994F25"/>
    <w:rsid w:val="00995AF3"/>
    <w:rsid w:val="0099608A"/>
    <w:rsid w:val="00996DDD"/>
    <w:rsid w:val="009975A0"/>
    <w:rsid w:val="00997C86"/>
    <w:rsid w:val="009A070E"/>
    <w:rsid w:val="009A0F1C"/>
    <w:rsid w:val="009A1571"/>
    <w:rsid w:val="009A25F1"/>
    <w:rsid w:val="009A2E86"/>
    <w:rsid w:val="009A3301"/>
    <w:rsid w:val="009A42AD"/>
    <w:rsid w:val="009A4AA4"/>
    <w:rsid w:val="009A5F83"/>
    <w:rsid w:val="009A6A76"/>
    <w:rsid w:val="009B2DF1"/>
    <w:rsid w:val="009B4CFB"/>
    <w:rsid w:val="009B4DF5"/>
    <w:rsid w:val="009B56BB"/>
    <w:rsid w:val="009B6106"/>
    <w:rsid w:val="009B63D5"/>
    <w:rsid w:val="009B6EEE"/>
    <w:rsid w:val="009B7027"/>
    <w:rsid w:val="009C3828"/>
    <w:rsid w:val="009C3C07"/>
    <w:rsid w:val="009C44A6"/>
    <w:rsid w:val="009C4C9E"/>
    <w:rsid w:val="009C5D2F"/>
    <w:rsid w:val="009C6154"/>
    <w:rsid w:val="009C65C1"/>
    <w:rsid w:val="009C7B8F"/>
    <w:rsid w:val="009D0FDE"/>
    <w:rsid w:val="009D2790"/>
    <w:rsid w:val="009D28E1"/>
    <w:rsid w:val="009D30E3"/>
    <w:rsid w:val="009D3C53"/>
    <w:rsid w:val="009D5DCB"/>
    <w:rsid w:val="009E08A6"/>
    <w:rsid w:val="009E0B9E"/>
    <w:rsid w:val="009E16BE"/>
    <w:rsid w:val="009E21F4"/>
    <w:rsid w:val="009E4771"/>
    <w:rsid w:val="009E6913"/>
    <w:rsid w:val="009E6AA3"/>
    <w:rsid w:val="009E6DEC"/>
    <w:rsid w:val="009E7210"/>
    <w:rsid w:val="009F0878"/>
    <w:rsid w:val="009F162C"/>
    <w:rsid w:val="009F17A2"/>
    <w:rsid w:val="009F22E4"/>
    <w:rsid w:val="009F2339"/>
    <w:rsid w:val="009F2CD3"/>
    <w:rsid w:val="009F4147"/>
    <w:rsid w:val="009F54B2"/>
    <w:rsid w:val="009F5B69"/>
    <w:rsid w:val="009F6B60"/>
    <w:rsid w:val="009F6EF2"/>
    <w:rsid w:val="009F7E5C"/>
    <w:rsid w:val="009F7FDB"/>
    <w:rsid w:val="00A00140"/>
    <w:rsid w:val="00A00548"/>
    <w:rsid w:val="00A015E1"/>
    <w:rsid w:val="00A016D4"/>
    <w:rsid w:val="00A020B5"/>
    <w:rsid w:val="00A021DD"/>
    <w:rsid w:val="00A03527"/>
    <w:rsid w:val="00A049B0"/>
    <w:rsid w:val="00A04DDE"/>
    <w:rsid w:val="00A069B0"/>
    <w:rsid w:val="00A07AD3"/>
    <w:rsid w:val="00A1203E"/>
    <w:rsid w:val="00A1238A"/>
    <w:rsid w:val="00A12758"/>
    <w:rsid w:val="00A12CD7"/>
    <w:rsid w:val="00A14B57"/>
    <w:rsid w:val="00A15D0B"/>
    <w:rsid w:val="00A16835"/>
    <w:rsid w:val="00A17688"/>
    <w:rsid w:val="00A20105"/>
    <w:rsid w:val="00A203EE"/>
    <w:rsid w:val="00A214CA"/>
    <w:rsid w:val="00A2191A"/>
    <w:rsid w:val="00A22690"/>
    <w:rsid w:val="00A22A16"/>
    <w:rsid w:val="00A23B85"/>
    <w:rsid w:val="00A2483E"/>
    <w:rsid w:val="00A25CA0"/>
    <w:rsid w:val="00A2640E"/>
    <w:rsid w:val="00A2649A"/>
    <w:rsid w:val="00A27076"/>
    <w:rsid w:val="00A307AE"/>
    <w:rsid w:val="00A30A68"/>
    <w:rsid w:val="00A34E69"/>
    <w:rsid w:val="00A35037"/>
    <w:rsid w:val="00A3603B"/>
    <w:rsid w:val="00A36D32"/>
    <w:rsid w:val="00A37387"/>
    <w:rsid w:val="00A4066F"/>
    <w:rsid w:val="00A40957"/>
    <w:rsid w:val="00A41DFB"/>
    <w:rsid w:val="00A42AEE"/>
    <w:rsid w:val="00A433FD"/>
    <w:rsid w:val="00A443BB"/>
    <w:rsid w:val="00A47C5C"/>
    <w:rsid w:val="00A47CDE"/>
    <w:rsid w:val="00A47F53"/>
    <w:rsid w:val="00A47FD7"/>
    <w:rsid w:val="00A50075"/>
    <w:rsid w:val="00A50860"/>
    <w:rsid w:val="00A50B7D"/>
    <w:rsid w:val="00A51CEC"/>
    <w:rsid w:val="00A52012"/>
    <w:rsid w:val="00A5213C"/>
    <w:rsid w:val="00A54C96"/>
    <w:rsid w:val="00A550F9"/>
    <w:rsid w:val="00A555DD"/>
    <w:rsid w:val="00A55C53"/>
    <w:rsid w:val="00A5607B"/>
    <w:rsid w:val="00A56E62"/>
    <w:rsid w:val="00A61731"/>
    <w:rsid w:val="00A61E30"/>
    <w:rsid w:val="00A629D5"/>
    <w:rsid w:val="00A672AF"/>
    <w:rsid w:val="00A6772F"/>
    <w:rsid w:val="00A67798"/>
    <w:rsid w:val="00A70A27"/>
    <w:rsid w:val="00A7103E"/>
    <w:rsid w:val="00A7113E"/>
    <w:rsid w:val="00A714B4"/>
    <w:rsid w:val="00A743B0"/>
    <w:rsid w:val="00A759B9"/>
    <w:rsid w:val="00A75E49"/>
    <w:rsid w:val="00A76720"/>
    <w:rsid w:val="00A7759F"/>
    <w:rsid w:val="00A77F6B"/>
    <w:rsid w:val="00A80BDA"/>
    <w:rsid w:val="00A8311A"/>
    <w:rsid w:val="00A83176"/>
    <w:rsid w:val="00A84D11"/>
    <w:rsid w:val="00A854CB"/>
    <w:rsid w:val="00A85B43"/>
    <w:rsid w:val="00A861CE"/>
    <w:rsid w:val="00A9189D"/>
    <w:rsid w:val="00A92CB8"/>
    <w:rsid w:val="00A930F3"/>
    <w:rsid w:val="00A95881"/>
    <w:rsid w:val="00A97A2E"/>
    <w:rsid w:val="00A97E70"/>
    <w:rsid w:val="00AA0448"/>
    <w:rsid w:val="00AA1D80"/>
    <w:rsid w:val="00AA3298"/>
    <w:rsid w:val="00AA4384"/>
    <w:rsid w:val="00AA505A"/>
    <w:rsid w:val="00AA6084"/>
    <w:rsid w:val="00AA78BC"/>
    <w:rsid w:val="00AB1BCC"/>
    <w:rsid w:val="00AB1E99"/>
    <w:rsid w:val="00AB2E97"/>
    <w:rsid w:val="00AB3021"/>
    <w:rsid w:val="00AB42AC"/>
    <w:rsid w:val="00AB4A63"/>
    <w:rsid w:val="00AB6A88"/>
    <w:rsid w:val="00AB7662"/>
    <w:rsid w:val="00AC32BD"/>
    <w:rsid w:val="00AC48D4"/>
    <w:rsid w:val="00AC58F8"/>
    <w:rsid w:val="00AC69A9"/>
    <w:rsid w:val="00AC6D6C"/>
    <w:rsid w:val="00AC751E"/>
    <w:rsid w:val="00AC77F2"/>
    <w:rsid w:val="00AD0F0F"/>
    <w:rsid w:val="00AD2973"/>
    <w:rsid w:val="00AD347E"/>
    <w:rsid w:val="00AD361C"/>
    <w:rsid w:val="00AD4456"/>
    <w:rsid w:val="00AD4A53"/>
    <w:rsid w:val="00AD4A5C"/>
    <w:rsid w:val="00AD5574"/>
    <w:rsid w:val="00AD56E7"/>
    <w:rsid w:val="00AD75CB"/>
    <w:rsid w:val="00AD7C42"/>
    <w:rsid w:val="00AE1FB3"/>
    <w:rsid w:val="00AE432E"/>
    <w:rsid w:val="00AE4C24"/>
    <w:rsid w:val="00AE4C69"/>
    <w:rsid w:val="00AE5DF6"/>
    <w:rsid w:val="00AE6A37"/>
    <w:rsid w:val="00AE7DEF"/>
    <w:rsid w:val="00AF1A0B"/>
    <w:rsid w:val="00AF1B49"/>
    <w:rsid w:val="00AF3010"/>
    <w:rsid w:val="00AF3BAE"/>
    <w:rsid w:val="00AF4303"/>
    <w:rsid w:val="00AF4D07"/>
    <w:rsid w:val="00AF653D"/>
    <w:rsid w:val="00AF66EF"/>
    <w:rsid w:val="00B007A0"/>
    <w:rsid w:val="00B00D27"/>
    <w:rsid w:val="00B02D60"/>
    <w:rsid w:val="00B04667"/>
    <w:rsid w:val="00B05990"/>
    <w:rsid w:val="00B05F64"/>
    <w:rsid w:val="00B0611E"/>
    <w:rsid w:val="00B06202"/>
    <w:rsid w:val="00B06237"/>
    <w:rsid w:val="00B0674A"/>
    <w:rsid w:val="00B0721C"/>
    <w:rsid w:val="00B07422"/>
    <w:rsid w:val="00B10036"/>
    <w:rsid w:val="00B10750"/>
    <w:rsid w:val="00B10B0C"/>
    <w:rsid w:val="00B117FC"/>
    <w:rsid w:val="00B11B92"/>
    <w:rsid w:val="00B126DA"/>
    <w:rsid w:val="00B13720"/>
    <w:rsid w:val="00B13B64"/>
    <w:rsid w:val="00B15088"/>
    <w:rsid w:val="00B15CE0"/>
    <w:rsid w:val="00B16134"/>
    <w:rsid w:val="00B16885"/>
    <w:rsid w:val="00B16A36"/>
    <w:rsid w:val="00B20AAE"/>
    <w:rsid w:val="00B211A7"/>
    <w:rsid w:val="00B21CC8"/>
    <w:rsid w:val="00B23148"/>
    <w:rsid w:val="00B236A1"/>
    <w:rsid w:val="00B242A0"/>
    <w:rsid w:val="00B24467"/>
    <w:rsid w:val="00B25E86"/>
    <w:rsid w:val="00B3082B"/>
    <w:rsid w:val="00B3106E"/>
    <w:rsid w:val="00B33B08"/>
    <w:rsid w:val="00B34ADC"/>
    <w:rsid w:val="00B35464"/>
    <w:rsid w:val="00B357E9"/>
    <w:rsid w:val="00B35B08"/>
    <w:rsid w:val="00B369FE"/>
    <w:rsid w:val="00B40743"/>
    <w:rsid w:val="00B40A8D"/>
    <w:rsid w:val="00B40D6F"/>
    <w:rsid w:val="00B4225B"/>
    <w:rsid w:val="00B43A30"/>
    <w:rsid w:val="00B44C7A"/>
    <w:rsid w:val="00B45279"/>
    <w:rsid w:val="00B47105"/>
    <w:rsid w:val="00B47892"/>
    <w:rsid w:val="00B50EEF"/>
    <w:rsid w:val="00B512E8"/>
    <w:rsid w:val="00B532F2"/>
    <w:rsid w:val="00B53950"/>
    <w:rsid w:val="00B53B9F"/>
    <w:rsid w:val="00B56085"/>
    <w:rsid w:val="00B564A1"/>
    <w:rsid w:val="00B56529"/>
    <w:rsid w:val="00B610AF"/>
    <w:rsid w:val="00B61EAB"/>
    <w:rsid w:val="00B6305E"/>
    <w:rsid w:val="00B63E5C"/>
    <w:rsid w:val="00B660FC"/>
    <w:rsid w:val="00B672D2"/>
    <w:rsid w:val="00B72F3F"/>
    <w:rsid w:val="00B744E4"/>
    <w:rsid w:val="00B7522C"/>
    <w:rsid w:val="00B76CE0"/>
    <w:rsid w:val="00B77859"/>
    <w:rsid w:val="00B77CC8"/>
    <w:rsid w:val="00B8059F"/>
    <w:rsid w:val="00B80639"/>
    <w:rsid w:val="00B8166B"/>
    <w:rsid w:val="00B83003"/>
    <w:rsid w:val="00B83748"/>
    <w:rsid w:val="00B839B0"/>
    <w:rsid w:val="00B872E5"/>
    <w:rsid w:val="00B876AB"/>
    <w:rsid w:val="00B9076C"/>
    <w:rsid w:val="00B90B15"/>
    <w:rsid w:val="00B93C52"/>
    <w:rsid w:val="00B946C2"/>
    <w:rsid w:val="00B9585A"/>
    <w:rsid w:val="00B95F69"/>
    <w:rsid w:val="00BA0DB8"/>
    <w:rsid w:val="00BA13BE"/>
    <w:rsid w:val="00BA1615"/>
    <w:rsid w:val="00BA496B"/>
    <w:rsid w:val="00BA49A4"/>
    <w:rsid w:val="00BA712C"/>
    <w:rsid w:val="00BB084E"/>
    <w:rsid w:val="00BB1CB2"/>
    <w:rsid w:val="00BB34B6"/>
    <w:rsid w:val="00BB4FAF"/>
    <w:rsid w:val="00BB5EEB"/>
    <w:rsid w:val="00BC0558"/>
    <w:rsid w:val="00BC0DCF"/>
    <w:rsid w:val="00BC115F"/>
    <w:rsid w:val="00BC14DC"/>
    <w:rsid w:val="00BC2F47"/>
    <w:rsid w:val="00BC373F"/>
    <w:rsid w:val="00BC3A95"/>
    <w:rsid w:val="00BC5F0B"/>
    <w:rsid w:val="00BC6393"/>
    <w:rsid w:val="00BC6C48"/>
    <w:rsid w:val="00BC6CC2"/>
    <w:rsid w:val="00BC73CD"/>
    <w:rsid w:val="00BC7C33"/>
    <w:rsid w:val="00BD02A2"/>
    <w:rsid w:val="00BD0630"/>
    <w:rsid w:val="00BD0836"/>
    <w:rsid w:val="00BD0AB8"/>
    <w:rsid w:val="00BD3E05"/>
    <w:rsid w:val="00BD50E7"/>
    <w:rsid w:val="00BD6E77"/>
    <w:rsid w:val="00BE011B"/>
    <w:rsid w:val="00BE114E"/>
    <w:rsid w:val="00BE1581"/>
    <w:rsid w:val="00BE1B43"/>
    <w:rsid w:val="00BE1D6E"/>
    <w:rsid w:val="00BE300D"/>
    <w:rsid w:val="00BE3DF2"/>
    <w:rsid w:val="00BE422F"/>
    <w:rsid w:val="00BE5B56"/>
    <w:rsid w:val="00BF190F"/>
    <w:rsid w:val="00BF1F01"/>
    <w:rsid w:val="00BF237E"/>
    <w:rsid w:val="00BF2D31"/>
    <w:rsid w:val="00BF4A5F"/>
    <w:rsid w:val="00BF6CD0"/>
    <w:rsid w:val="00C00134"/>
    <w:rsid w:val="00C0075D"/>
    <w:rsid w:val="00C010AF"/>
    <w:rsid w:val="00C04A47"/>
    <w:rsid w:val="00C04FF1"/>
    <w:rsid w:val="00C05412"/>
    <w:rsid w:val="00C057C0"/>
    <w:rsid w:val="00C062C3"/>
    <w:rsid w:val="00C06F7F"/>
    <w:rsid w:val="00C0792B"/>
    <w:rsid w:val="00C10D4A"/>
    <w:rsid w:val="00C11A22"/>
    <w:rsid w:val="00C12468"/>
    <w:rsid w:val="00C12641"/>
    <w:rsid w:val="00C13464"/>
    <w:rsid w:val="00C13D36"/>
    <w:rsid w:val="00C14633"/>
    <w:rsid w:val="00C16B8C"/>
    <w:rsid w:val="00C201FE"/>
    <w:rsid w:val="00C20643"/>
    <w:rsid w:val="00C20F57"/>
    <w:rsid w:val="00C2117B"/>
    <w:rsid w:val="00C2160E"/>
    <w:rsid w:val="00C21C3C"/>
    <w:rsid w:val="00C23287"/>
    <w:rsid w:val="00C23A75"/>
    <w:rsid w:val="00C23E71"/>
    <w:rsid w:val="00C24A99"/>
    <w:rsid w:val="00C24D75"/>
    <w:rsid w:val="00C26080"/>
    <w:rsid w:val="00C27C66"/>
    <w:rsid w:val="00C27C9E"/>
    <w:rsid w:val="00C30D2E"/>
    <w:rsid w:val="00C32A46"/>
    <w:rsid w:val="00C34192"/>
    <w:rsid w:val="00C35C42"/>
    <w:rsid w:val="00C3650B"/>
    <w:rsid w:val="00C4001F"/>
    <w:rsid w:val="00C420C3"/>
    <w:rsid w:val="00C4465F"/>
    <w:rsid w:val="00C453E0"/>
    <w:rsid w:val="00C45604"/>
    <w:rsid w:val="00C50501"/>
    <w:rsid w:val="00C515A7"/>
    <w:rsid w:val="00C51F4E"/>
    <w:rsid w:val="00C525E9"/>
    <w:rsid w:val="00C57097"/>
    <w:rsid w:val="00C5717C"/>
    <w:rsid w:val="00C62016"/>
    <w:rsid w:val="00C62023"/>
    <w:rsid w:val="00C620AD"/>
    <w:rsid w:val="00C63D98"/>
    <w:rsid w:val="00C64C30"/>
    <w:rsid w:val="00C64E9F"/>
    <w:rsid w:val="00C65159"/>
    <w:rsid w:val="00C65460"/>
    <w:rsid w:val="00C657EF"/>
    <w:rsid w:val="00C6639E"/>
    <w:rsid w:val="00C67CC4"/>
    <w:rsid w:val="00C67CEB"/>
    <w:rsid w:val="00C727F8"/>
    <w:rsid w:val="00C728C9"/>
    <w:rsid w:val="00C73EB2"/>
    <w:rsid w:val="00C740C8"/>
    <w:rsid w:val="00C758A6"/>
    <w:rsid w:val="00C766CC"/>
    <w:rsid w:val="00C76E16"/>
    <w:rsid w:val="00C77627"/>
    <w:rsid w:val="00C82125"/>
    <w:rsid w:val="00C82188"/>
    <w:rsid w:val="00C82342"/>
    <w:rsid w:val="00C828BE"/>
    <w:rsid w:val="00C83152"/>
    <w:rsid w:val="00C84D63"/>
    <w:rsid w:val="00C866AC"/>
    <w:rsid w:val="00C866DC"/>
    <w:rsid w:val="00C90CF9"/>
    <w:rsid w:val="00C921B1"/>
    <w:rsid w:val="00C9441C"/>
    <w:rsid w:val="00C96066"/>
    <w:rsid w:val="00C965A8"/>
    <w:rsid w:val="00C9684E"/>
    <w:rsid w:val="00C975C2"/>
    <w:rsid w:val="00CA1C67"/>
    <w:rsid w:val="00CA2484"/>
    <w:rsid w:val="00CA3C50"/>
    <w:rsid w:val="00CA3CCD"/>
    <w:rsid w:val="00CA4CDE"/>
    <w:rsid w:val="00CA5AEE"/>
    <w:rsid w:val="00CA77C5"/>
    <w:rsid w:val="00CB0CA7"/>
    <w:rsid w:val="00CB0F6A"/>
    <w:rsid w:val="00CB166F"/>
    <w:rsid w:val="00CB1A9C"/>
    <w:rsid w:val="00CB2920"/>
    <w:rsid w:val="00CB3707"/>
    <w:rsid w:val="00CB5C2A"/>
    <w:rsid w:val="00CB6ACD"/>
    <w:rsid w:val="00CC0AAD"/>
    <w:rsid w:val="00CC0FA5"/>
    <w:rsid w:val="00CC130A"/>
    <w:rsid w:val="00CC3BD8"/>
    <w:rsid w:val="00CC3DF4"/>
    <w:rsid w:val="00CC4EBF"/>
    <w:rsid w:val="00CD01C4"/>
    <w:rsid w:val="00CD1004"/>
    <w:rsid w:val="00CD1AB7"/>
    <w:rsid w:val="00CD23B8"/>
    <w:rsid w:val="00CD26DD"/>
    <w:rsid w:val="00CD2C69"/>
    <w:rsid w:val="00CD2CFC"/>
    <w:rsid w:val="00CD3BA0"/>
    <w:rsid w:val="00CD5933"/>
    <w:rsid w:val="00CD6620"/>
    <w:rsid w:val="00CD6B2D"/>
    <w:rsid w:val="00CE1DDE"/>
    <w:rsid w:val="00CE284A"/>
    <w:rsid w:val="00CE4494"/>
    <w:rsid w:val="00CE5459"/>
    <w:rsid w:val="00CE561D"/>
    <w:rsid w:val="00CE69F2"/>
    <w:rsid w:val="00CE6CCF"/>
    <w:rsid w:val="00CE7030"/>
    <w:rsid w:val="00CE7228"/>
    <w:rsid w:val="00CF00CE"/>
    <w:rsid w:val="00CF04F9"/>
    <w:rsid w:val="00CF0C7E"/>
    <w:rsid w:val="00CF0CF3"/>
    <w:rsid w:val="00CF2D8E"/>
    <w:rsid w:val="00CF30B3"/>
    <w:rsid w:val="00CF3989"/>
    <w:rsid w:val="00CF3A2D"/>
    <w:rsid w:val="00CF408B"/>
    <w:rsid w:val="00CF74BE"/>
    <w:rsid w:val="00CF7924"/>
    <w:rsid w:val="00D00049"/>
    <w:rsid w:val="00D00797"/>
    <w:rsid w:val="00D00AB4"/>
    <w:rsid w:val="00D02105"/>
    <w:rsid w:val="00D02FC5"/>
    <w:rsid w:val="00D0331E"/>
    <w:rsid w:val="00D03A86"/>
    <w:rsid w:val="00D05BD9"/>
    <w:rsid w:val="00D06837"/>
    <w:rsid w:val="00D06BC6"/>
    <w:rsid w:val="00D06BD0"/>
    <w:rsid w:val="00D06CB3"/>
    <w:rsid w:val="00D07445"/>
    <w:rsid w:val="00D076F7"/>
    <w:rsid w:val="00D128A6"/>
    <w:rsid w:val="00D12F20"/>
    <w:rsid w:val="00D13A07"/>
    <w:rsid w:val="00D1447B"/>
    <w:rsid w:val="00D15536"/>
    <w:rsid w:val="00D1586C"/>
    <w:rsid w:val="00D1626B"/>
    <w:rsid w:val="00D16AE5"/>
    <w:rsid w:val="00D1706E"/>
    <w:rsid w:val="00D2095C"/>
    <w:rsid w:val="00D21266"/>
    <w:rsid w:val="00D2226E"/>
    <w:rsid w:val="00D226A2"/>
    <w:rsid w:val="00D232AD"/>
    <w:rsid w:val="00D2334F"/>
    <w:rsid w:val="00D238BD"/>
    <w:rsid w:val="00D2461A"/>
    <w:rsid w:val="00D24F1F"/>
    <w:rsid w:val="00D25882"/>
    <w:rsid w:val="00D272B6"/>
    <w:rsid w:val="00D27A3A"/>
    <w:rsid w:val="00D27F78"/>
    <w:rsid w:val="00D30073"/>
    <w:rsid w:val="00D309FA"/>
    <w:rsid w:val="00D3289A"/>
    <w:rsid w:val="00D34686"/>
    <w:rsid w:val="00D3574C"/>
    <w:rsid w:val="00D360AB"/>
    <w:rsid w:val="00D36440"/>
    <w:rsid w:val="00D371B7"/>
    <w:rsid w:val="00D374A4"/>
    <w:rsid w:val="00D377A3"/>
    <w:rsid w:val="00D37925"/>
    <w:rsid w:val="00D402E6"/>
    <w:rsid w:val="00D40D2F"/>
    <w:rsid w:val="00D40D75"/>
    <w:rsid w:val="00D4186E"/>
    <w:rsid w:val="00D430D9"/>
    <w:rsid w:val="00D44556"/>
    <w:rsid w:val="00D47FC5"/>
    <w:rsid w:val="00D50349"/>
    <w:rsid w:val="00D50E04"/>
    <w:rsid w:val="00D53956"/>
    <w:rsid w:val="00D546A2"/>
    <w:rsid w:val="00D61683"/>
    <w:rsid w:val="00D61D1B"/>
    <w:rsid w:val="00D61F82"/>
    <w:rsid w:val="00D64A2A"/>
    <w:rsid w:val="00D6543D"/>
    <w:rsid w:val="00D655E7"/>
    <w:rsid w:val="00D669F6"/>
    <w:rsid w:val="00D66B60"/>
    <w:rsid w:val="00D67D33"/>
    <w:rsid w:val="00D724A2"/>
    <w:rsid w:val="00D7278D"/>
    <w:rsid w:val="00D72DEC"/>
    <w:rsid w:val="00D72F53"/>
    <w:rsid w:val="00D74A48"/>
    <w:rsid w:val="00D75421"/>
    <w:rsid w:val="00D75D4F"/>
    <w:rsid w:val="00D75EEF"/>
    <w:rsid w:val="00D77BD2"/>
    <w:rsid w:val="00D80029"/>
    <w:rsid w:val="00D8012B"/>
    <w:rsid w:val="00D80A94"/>
    <w:rsid w:val="00D80ABA"/>
    <w:rsid w:val="00D80FE2"/>
    <w:rsid w:val="00D8133F"/>
    <w:rsid w:val="00D81E44"/>
    <w:rsid w:val="00D820A1"/>
    <w:rsid w:val="00D82112"/>
    <w:rsid w:val="00D82D52"/>
    <w:rsid w:val="00D873E1"/>
    <w:rsid w:val="00D87511"/>
    <w:rsid w:val="00D87E7D"/>
    <w:rsid w:val="00D90EFE"/>
    <w:rsid w:val="00D91232"/>
    <w:rsid w:val="00D916DC"/>
    <w:rsid w:val="00D91DAE"/>
    <w:rsid w:val="00D92A29"/>
    <w:rsid w:val="00D95635"/>
    <w:rsid w:val="00D9581E"/>
    <w:rsid w:val="00DA229E"/>
    <w:rsid w:val="00DA358B"/>
    <w:rsid w:val="00DA453D"/>
    <w:rsid w:val="00DA513D"/>
    <w:rsid w:val="00DA78A3"/>
    <w:rsid w:val="00DB1071"/>
    <w:rsid w:val="00DB1E93"/>
    <w:rsid w:val="00DB1F76"/>
    <w:rsid w:val="00DB21FC"/>
    <w:rsid w:val="00DB3124"/>
    <w:rsid w:val="00DB37D0"/>
    <w:rsid w:val="00DB4FC9"/>
    <w:rsid w:val="00DB734C"/>
    <w:rsid w:val="00DC3051"/>
    <w:rsid w:val="00DC3F11"/>
    <w:rsid w:val="00DC45F2"/>
    <w:rsid w:val="00DC4DCB"/>
    <w:rsid w:val="00DD073B"/>
    <w:rsid w:val="00DD0AE0"/>
    <w:rsid w:val="00DD0D45"/>
    <w:rsid w:val="00DD137D"/>
    <w:rsid w:val="00DD24A9"/>
    <w:rsid w:val="00DD2D30"/>
    <w:rsid w:val="00DD367E"/>
    <w:rsid w:val="00DD3E28"/>
    <w:rsid w:val="00DD4825"/>
    <w:rsid w:val="00DD49A3"/>
    <w:rsid w:val="00DD68D3"/>
    <w:rsid w:val="00DE19A3"/>
    <w:rsid w:val="00DE2F75"/>
    <w:rsid w:val="00DE3040"/>
    <w:rsid w:val="00DE4822"/>
    <w:rsid w:val="00DE5993"/>
    <w:rsid w:val="00DE6645"/>
    <w:rsid w:val="00DE6E0D"/>
    <w:rsid w:val="00DE7980"/>
    <w:rsid w:val="00DF45B2"/>
    <w:rsid w:val="00DF514B"/>
    <w:rsid w:val="00DF57EC"/>
    <w:rsid w:val="00DF5887"/>
    <w:rsid w:val="00DF5A86"/>
    <w:rsid w:val="00DF6FF2"/>
    <w:rsid w:val="00DF7C66"/>
    <w:rsid w:val="00E00189"/>
    <w:rsid w:val="00E010F8"/>
    <w:rsid w:val="00E0263D"/>
    <w:rsid w:val="00E042DB"/>
    <w:rsid w:val="00E0461F"/>
    <w:rsid w:val="00E04639"/>
    <w:rsid w:val="00E062F6"/>
    <w:rsid w:val="00E1199B"/>
    <w:rsid w:val="00E13809"/>
    <w:rsid w:val="00E142B5"/>
    <w:rsid w:val="00E1440D"/>
    <w:rsid w:val="00E14B5B"/>
    <w:rsid w:val="00E14CCC"/>
    <w:rsid w:val="00E209AD"/>
    <w:rsid w:val="00E21042"/>
    <w:rsid w:val="00E21510"/>
    <w:rsid w:val="00E21B6E"/>
    <w:rsid w:val="00E21E00"/>
    <w:rsid w:val="00E22242"/>
    <w:rsid w:val="00E23081"/>
    <w:rsid w:val="00E2351F"/>
    <w:rsid w:val="00E258D7"/>
    <w:rsid w:val="00E26455"/>
    <w:rsid w:val="00E27D63"/>
    <w:rsid w:val="00E30084"/>
    <w:rsid w:val="00E31C7B"/>
    <w:rsid w:val="00E33B48"/>
    <w:rsid w:val="00E34D15"/>
    <w:rsid w:val="00E35AC9"/>
    <w:rsid w:val="00E35BCF"/>
    <w:rsid w:val="00E360C1"/>
    <w:rsid w:val="00E36158"/>
    <w:rsid w:val="00E36E49"/>
    <w:rsid w:val="00E378FB"/>
    <w:rsid w:val="00E37C06"/>
    <w:rsid w:val="00E41FCC"/>
    <w:rsid w:val="00E42429"/>
    <w:rsid w:val="00E43CC8"/>
    <w:rsid w:val="00E43FA6"/>
    <w:rsid w:val="00E45E92"/>
    <w:rsid w:val="00E46621"/>
    <w:rsid w:val="00E46ADE"/>
    <w:rsid w:val="00E47964"/>
    <w:rsid w:val="00E51F1C"/>
    <w:rsid w:val="00E530E0"/>
    <w:rsid w:val="00E54138"/>
    <w:rsid w:val="00E55D4C"/>
    <w:rsid w:val="00E605DB"/>
    <w:rsid w:val="00E62A93"/>
    <w:rsid w:val="00E63073"/>
    <w:rsid w:val="00E638DD"/>
    <w:rsid w:val="00E64D32"/>
    <w:rsid w:val="00E65E02"/>
    <w:rsid w:val="00E66945"/>
    <w:rsid w:val="00E67C83"/>
    <w:rsid w:val="00E704D1"/>
    <w:rsid w:val="00E72212"/>
    <w:rsid w:val="00E726B4"/>
    <w:rsid w:val="00E73C24"/>
    <w:rsid w:val="00E74376"/>
    <w:rsid w:val="00E754B6"/>
    <w:rsid w:val="00E77160"/>
    <w:rsid w:val="00E77356"/>
    <w:rsid w:val="00E778DD"/>
    <w:rsid w:val="00E81812"/>
    <w:rsid w:val="00E8204B"/>
    <w:rsid w:val="00E829A1"/>
    <w:rsid w:val="00E833A4"/>
    <w:rsid w:val="00E84C30"/>
    <w:rsid w:val="00E84FAC"/>
    <w:rsid w:val="00E8697D"/>
    <w:rsid w:val="00E8710C"/>
    <w:rsid w:val="00E87B0C"/>
    <w:rsid w:val="00E91488"/>
    <w:rsid w:val="00E9230F"/>
    <w:rsid w:val="00E934FF"/>
    <w:rsid w:val="00E93727"/>
    <w:rsid w:val="00E93F5D"/>
    <w:rsid w:val="00E943BE"/>
    <w:rsid w:val="00E94E86"/>
    <w:rsid w:val="00E951DC"/>
    <w:rsid w:val="00E957B3"/>
    <w:rsid w:val="00E96487"/>
    <w:rsid w:val="00E965C7"/>
    <w:rsid w:val="00E96967"/>
    <w:rsid w:val="00E973B6"/>
    <w:rsid w:val="00E97614"/>
    <w:rsid w:val="00EA1195"/>
    <w:rsid w:val="00EA7187"/>
    <w:rsid w:val="00EA73A8"/>
    <w:rsid w:val="00EA7B6A"/>
    <w:rsid w:val="00EB0396"/>
    <w:rsid w:val="00EB289A"/>
    <w:rsid w:val="00EB422A"/>
    <w:rsid w:val="00EB5ABB"/>
    <w:rsid w:val="00EB76B6"/>
    <w:rsid w:val="00EC05ED"/>
    <w:rsid w:val="00EC0A43"/>
    <w:rsid w:val="00EC19A7"/>
    <w:rsid w:val="00EC1C03"/>
    <w:rsid w:val="00EC2AD5"/>
    <w:rsid w:val="00EC2BFC"/>
    <w:rsid w:val="00EC2C74"/>
    <w:rsid w:val="00EC3572"/>
    <w:rsid w:val="00EC4648"/>
    <w:rsid w:val="00EC5A83"/>
    <w:rsid w:val="00EC63C1"/>
    <w:rsid w:val="00EC6678"/>
    <w:rsid w:val="00ED08D7"/>
    <w:rsid w:val="00ED17E4"/>
    <w:rsid w:val="00ED26B7"/>
    <w:rsid w:val="00ED3835"/>
    <w:rsid w:val="00ED3C29"/>
    <w:rsid w:val="00ED59C1"/>
    <w:rsid w:val="00ED6154"/>
    <w:rsid w:val="00ED6936"/>
    <w:rsid w:val="00ED7152"/>
    <w:rsid w:val="00ED735C"/>
    <w:rsid w:val="00ED782D"/>
    <w:rsid w:val="00EE0689"/>
    <w:rsid w:val="00EE60D2"/>
    <w:rsid w:val="00EE6BA4"/>
    <w:rsid w:val="00EE731D"/>
    <w:rsid w:val="00EF0D07"/>
    <w:rsid w:val="00EF1766"/>
    <w:rsid w:val="00EF1CCF"/>
    <w:rsid w:val="00EF1F47"/>
    <w:rsid w:val="00EF2C46"/>
    <w:rsid w:val="00EF3E46"/>
    <w:rsid w:val="00EF4103"/>
    <w:rsid w:val="00EF48DD"/>
    <w:rsid w:val="00EF57CE"/>
    <w:rsid w:val="00F00A52"/>
    <w:rsid w:val="00F0107E"/>
    <w:rsid w:val="00F029B1"/>
    <w:rsid w:val="00F02BC6"/>
    <w:rsid w:val="00F032CF"/>
    <w:rsid w:val="00F03460"/>
    <w:rsid w:val="00F0362A"/>
    <w:rsid w:val="00F0431A"/>
    <w:rsid w:val="00F044FB"/>
    <w:rsid w:val="00F04C65"/>
    <w:rsid w:val="00F055C5"/>
    <w:rsid w:val="00F05BD9"/>
    <w:rsid w:val="00F07038"/>
    <w:rsid w:val="00F07699"/>
    <w:rsid w:val="00F1194C"/>
    <w:rsid w:val="00F120B9"/>
    <w:rsid w:val="00F126ED"/>
    <w:rsid w:val="00F12F43"/>
    <w:rsid w:val="00F1357E"/>
    <w:rsid w:val="00F135CC"/>
    <w:rsid w:val="00F13810"/>
    <w:rsid w:val="00F13DC8"/>
    <w:rsid w:val="00F13EBD"/>
    <w:rsid w:val="00F16834"/>
    <w:rsid w:val="00F201BF"/>
    <w:rsid w:val="00F21B81"/>
    <w:rsid w:val="00F236F4"/>
    <w:rsid w:val="00F23E05"/>
    <w:rsid w:val="00F24B22"/>
    <w:rsid w:val="00F2686D"/>
    <w:rsid w:val="00F271D2"/>
    <w:rsid w:val="00F275AE"/>
    <w:rsid w:val="00F276C2"/>
    <w:rsid w:val="00F30FA0"/>
    <w:rsid w:val="00F31496"/>
    <w:rsid w:val="00F31B5F"/>
    <w:rsid w:val="00F31B7B"/>
    <w:rsid w:val="00F3232C"/>
    <w:rsid w:val="00F3263B"/>
    <w:rsid w:val="00F327AD"/>
    <w:rsid w:val="00F341A0"/>
    <w:rsid w:val="00F347F3"/>
    <w:rsid w:val="00F34DA3"/>
    <w:rsid w:val="00F378B3"/>
    <w:rsid w:val="00F37B8E"/>
    <w:rsid w:val="00F37E44"/>
    <w:rsid w:val="00F4076B"/>
    <w:rsid w:val="00F41340"/>
    <w:rsid w:val="00F416CE"/>
    <w:rsid w:val="00F44B26"/>
    <w:rsid w:val="00F45FED"/>
    <w:rsid w:val="00F46597"/>
    <w:rsid w:val="00F50BBA"/>
    <w:rsid w:val="00F50EF5"/>
    <w:rsid w:val="00F51842"/>
    <w:rsid w:val="00F54F6A"/>
    <w:rsid w:val="00F55655"/>
    <w:rsid w:val="00F560E9"/>
    <w:rsid w:val="00F56C38"/>
    <w:rsid w:val="00F61DE6"/>
    <w:rsid w:val="00F62BD1"/>
    <w:rsid w:val="00F657FB"/>
    <w:rsid w:val="00F67473"/>
    <w:rsid w:val="00F70016"/>
    <w:rsid w:val="00F70545"/>
    <w:rsid w:val="00F71686"/>
    <w:rsid w:val="00F720EB"/>
    <w:rsid w:val="00F72559"/>
    <w:rsid w:val="00F728D9"/>
    <w:rsid w:val="00F72F33"/>
    <w:rsid w:val="00F74D50"/>
    <w:rsid w:val="00F7540D"/>
    <w:rsid w:val="00F75820"/>
    <w:rsid w:val="00F75D90"/>
    <w:rsid w:val="00F7610E"/>
    <w:rsid w:val="00F76364"/>
    <w:rsid w:val="00F772F6"/>
    <w:rsid w:val="00F8182D"/>
    <w:rsid w:val="00F81B03"/>
    <w:rsid w:val="00F8250C"/>
    <w:rsid w:val="00F82F26"/>
    <w:rsid w:val="00F83875"/>
    <w:rsid w:val="00F84AC0"/>
    <w:rsid w:val="00F86AA6"/>
    <w:rsid w:val="00F875FC"/>
    <w:rsid w:val="00F8777B"/>
    <w:rsid w:val="00F910E2"/>
    <w:rsid w:val="00F92903"/>
    <w:rsid w:val="00F92C96"/>
    <w:rsid w:val="00F96420"/>
    <w:rsid w:val="00F979CD"/>
    <w:rsid w:val="00FA0EE1"/>
    <w:rsid w:val="00FA199A"/>
    <w:rsid w:val="00FA1CBD"/>
    <w:rsid w:val="00FA2C0E"/>
    <w:rsid w:val="00FA35AC"/>
    <w:rsid w:val="00FA440B"/>
    <w:rsid w:val="00FA4576"/>
    <w:rsid w:val="00FA623A"/>
    <w:rsid w:val="00FA6512"/>
    <w:rsid w:val="00FA7A0E"/>
    <w:rsid w:val="00FB1059"/>
    <w:rsid w:val="00FB12F6"/>
    <w:rsid w:val="00FB35FB"/>
    <w:rsid w:val="00FB3A8D"/>
    <w:rsid w:val="00FB4894"/>
    <w:rsid w:val="00FB521D"/>
    <w:rsid w:val="00FB6C53"/>
    <w:rsid w:val="00FB7870"/>
    <w:rsid w:val="00FB79B8"/>
    <w:rsid w:val="00FC2242"/>
    <w:rsid w:val="00FC6A47"/>
    <w:rsid w:val="00FC71AE"/>
    <w:rsid w:val="00FC7507"/>
    <w:rsid w:val="00FD048E"/>
    <w:rsid w:val="00FD0AE7"/>
    <w:rsid w:val="00FD19EE"/>
    <w:rsid w:val="00FD2537"/>
    <w:rsid w:val="00FD35D3"/>
    <w:rsid w:val="00FD4694"/>
    <w:rsid w:val="00FD5DBA"/>
    <w:rsid w:val="00FD656B"/>
    <w:rsid w:val="00FE37A0"/>
    <w:rsid w:val="00FE4933"/>
    <w:rsid w:val="00FE6396"/>
    <w:rsid w:val="00FE7752"/>
    <w:rsid w:val="00FF187F"/>
    <w:rsid w:val="00FF3019"/>
    <w:rsid w:val="00FF3595"/>
    <w:rsid w:val="00FF3618"/>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93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qFormat="1"/>
    <w:lsdException w:name="Medium Shading 2" w:semiHidden="0" w:uiPriority="73" w:unhideWhenUsed="0" w:qFormat="1"/>
    <w:lsdException w:name="Medium List 1" w:semiHidden="0" w:uiPriority="60" w:unhideWhenUsed="0" w:qFormat="1"/>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qFormat="1"/>
    <w:lsdException w:name="Colorful Shading Accent 5" w:semiHidden="0" w:uiPriority="66" w:unhideWhenUsed="0" w:qFormat="1"/>
    <w:lsdException w:name="Colorful List Accent 5" w:semiHidden="0" w:uiPriority="67" w:unhideWhenUsed="0" w:qFormat="1"/>
    <w:lsdException w:name="Colorful Grid Accent 5" w:semiHidden="0" w:uiPriority="68" w:unhideWhenUsed="0" w:qFormat="1"/>
    <w:lsdException w:name="Light Shading Accent 6" w:semiHidden="0" w:uiPriority="69" w:unhideWhenUsed="0" w:qFormat="1"/>
    <w:lsdException w:name="Light List Accent 6" w:semiHidden="0" w:uiPriority="70" w:unhideWhenUsed="0"/>
    <w:lsdException w:name="Light Grid Accent 6" w:semiHidden="0" w:uiPriority="71"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004"/>
    <w:rPr>
      <w:sz w:val="24"/>
      <w:szCs w:val="24"/>
      <w:lang w:val="en-GB"/>
    </w:rPr>
  </w:style>
  <w:style w:type="paragraph" w:styleId="Heading1">
    <w:name w:val="heading 1"/>
    <w:basedOn w:val="Normal"/>
    <w:next w:val="BodyText"/>
    <w:link w:val="Heading1Char"/>
    <w:autoRedefine/>
    <w:uiPriority w:val="99"/>
    <w:qFormat/>
    <w:rsid w:val="00725242"/>
    <w:pPr>
      <w:keepNext/>
      <w:tabs>
        <w:tab w:val="right" w:pos="8640"/>
      </w:tabs>
      <w:spacing w:line="480" w:lineRule="auto"/>
      <w:outlineLvl w:val="0"/>
    </w:pPr>
    <w:rPr>
      <w:b/>
      <w:szCs w:val="22"/>
    </w:rPr>
  </w:style>
  <w:style w:type="paragraph" w:styleId="Heading2">
    <w:name w:val="heading 2"/>
    <w:basedOn w:val="BodyText"/>
    <w:next w:val="Normal"/>
    <w:link w:val="Heading2Char"/>
    <w:autoRedefine/>
    <w:uiPriority w:val="99"/>
    <w:qFormat/>
    <w:rsid w:val="00AC48D4"/>
    <w:pPr>
      <w:ind w:firstLine="0"/>
      <w:outlineLvl w:val="1"/>
    </w:pPr>
    <w:rPr>
      <w:lang w:val="en-GB"/>
    </w:rPr>
  </w:style>
  <w:style w:type="paragraph" w:styleId="Heading3">
    <w:name w:val="heading 3"/>
    <w:basedOn w:val="BodyText"/>
    <w:next w:val="Normal"/>
    <w:link w:val="Heading3Char"/>
    <w:uiPriority w:val="99"/>
    <w:qFormat/>
    <w:rsid w:val="001A6F4D"/>
    <w:pPr>
      <w:outlineLvl w:val="2"/>
    </w:pPr>
    <w:rPr>
      <w:i/>
    </w:rPr>
  </w:style>
  <w:style w:type="paragraph" w:styleId="Heading8">
    <w:name w:val="heading 8"/>
    <w:basedOn w:val="Normal"/>
    <w:next w:val="Normal"/>
    <w:link w:val="Heading8Char"/>
    <w:uiPriority w:val="99"/>
    <w:qFormat/>
    <w:rsid w:val="00725242"/>
    <w:pPr>
      <w:keepNext/>
      <w:keepLines/>
      <w:spacing w:before="200"/>
      <w:outlineLvl w:val="7"/>
    </w:pPr>
    <w:rPr>
      <w:rFonts w:ascii="Calibri" w:eastAsia="MS ????" w:hAnsi="Calibr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val="en-US" w:eastAsia="en-US"/>
    </w:rPr>
  </w:style>
  <w:style w:type="character" w:customStyle="1" w:styleId="Heading2Char">
    <w:name w:val="Heading 2 Char"/>
    <w:link w:val="Heading2"/>
    <w:uiPriority w:val="99"/>
    <w:locked/>
    <w:rsid w:val="00AC48D4"/>
    <w:rPr>
      <w:sz w:val="24"/>
      <w:szCs w:val="24"/>
      <w:lang w:val="en-GB" w:eastAsia="hr-HR"/>
    </w:rPr>
  </w:style>
  <w:style w:type="character" w:customStyle="1" w:styleId="Heading3Char">
    <w:name w:val="Heading 3 Char"/>
    <w:link w:val="Heading3"/>
    <w:uiPriority w:val="99"/>
    <w:locked/>
    <w:rsid w:val="001A6F4D"/>
    <w:rPr>
      <w:rFonts w:cs="Times New Roman"/>
      <w:i/>
      <w:sz w:val="24"/>
      <w:szCs w:val="24"/>
    </w:rPr>
  </w:style>
  <w:style w:type="character" w:customStyle="1" w:styleId="Heading8Char">
    <w:name w:val="Heading 8 Char"/>
    <w:link w:val="Heading8"/>
    <w:uiPriority w:val="99"/>
    <w:semiHidden/>
    <w:locked/>
    <w:rsid w:val="00725242"/>
    <w:rPr>
      <w:rFonts w:ascii="Calibri" w:eastAsia="MS ????" w:hAnsi="Calibri" w:cs="Times New Roman"/>
      <w:color w:val="404040"/>
    </w:rPr>
  </w:style>
  <w:style w:type="paragraph" w:styleId="BodyText">
    <w:name w:val="Body Text"/>
    <w:basedOn w:val="Normal"/>
    <w:link w:val="BodyTextChar"/>
    <w:uiPriority w:val="99"/>
    <w:rsid w:val="00583355"/>
    <w:pPr>
      <w:tabs>
        <w:tab w:val="right" w:pos="8640"/>
      </w:tabs>
      <w:spacing w:line="480" w:lineRule="auto"/>
      <w:ind w:firstLine="720"/>
    </w:pPr>
    <w:rPr>
      <w:lang w:val="hr-HR" w:eastAsia="hr-HR"/>
    </w:rPr>
  </w:style>
  <w:style w:type="character" w:customStyle="1" w:styleId="BodyTextChar">
    <w:name w:val="Body Text Char"/>
    <w:link w:val="BodyText"/>
    <w:uiPriority w:val="99"/>
    <w:locked/>
    <w:rsid w:val="0001516E"/>
    <w:rPr>
      <w:rFonts w:cs="Times New Roman"/>
      <w:sz w:val="24"/>
    </w:rPr>
  </w:style>
  <w:style w:type="paragraph" w:customStyle="1" w:styleId="SectionHeading">
    <w:name w:val="SectionHeading"/>
    <w:uiPriority w:val="99"/>
    <w:rsid w:val="00583355"/>
    <w:pPr>
      <w:keepNext/>
      <w:pageBreakBefore/>
      <w:spacing w:line="480" w:lineRule="auto"/>
      <w:jc w:val="center"/>
    </w:pPr>
    <w:rPr>
      <w:rFonts w:ascii="Garamond" w:hAnsi="Garamond"/>
      <w:sz w:val="24"/>
      <w:szCs w:val="22"/>
    </w:rPr>
  </w:style>
  <w:style w:type="paragraph" w:styleId="Header">
    <w:name w:val="header"/>
    <w:basedOn w:val="Normal"/>
    <w:link w:val="HeaderChar"/>
    <w:uiPriority w:val="99"/>
    <w:rsid w:val="00583355"/>
    <w:pPr>
      <w:keepLines/>
      <w:tabs>
        <w:tab w:val="center" w:pos="4320"/>
        <w:tab w:val="right" w:pos="8640"/>
      </w:tabs>
      <w:spacing w:line="480" w:lineRule="auto"/>
      <w:jc w:val="center"/>
    </w:pPr>
  </w:style>
  <w:style w:type="character" w:customStyle="1" w:styleId="HeaderChar">
    <w:name w:val="Header Char"/>
    <w:link w:val="Header"/>
    <w:uiPriority w:val="99"/>
    <w:semiHidden/>
    <w:locked/>
    <w:rPr>
      <w:rFonts w:cs="Times New Roman"/>
      <w:sz w:val="24"/>
      <w:szCs w:val="24"/>
      <w:lang w:val="en-US" w:eastAsia="en-US"/>
    </w:rPr>
  </w:style>
  <w:style w:type="character" w:styleId="PageNumber">
    <w:name w:val="page number"/>
    <w:uiPriority w:val="99"/>
    <w:rsid w:val="00583355"/>
    <w:rPr>
      <w:rFonts w:cs="Times New Roman"/>
      <w:sz w:val="24"/>
    </w:rPr>
  </w:style>
  <w:style w:type="paragraph" w:styleId="Subtitle">
    <w:name w:val="Subtitle"/>
    <w:basedOn w:val="Normal"/>
    <w:next w:val="BodyText"/>
    <w:link w:val="SubtitleChar"/>
    <w:uiPriority w:val="99"/>
    <w:qFormat/>
    <w:rsid w:val="00583355"/>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uiPriority w:val="99"/>
    <w:locked/>
    <w:rPr>
      <w:rFonts w:ascii="Cambria" w:hAnsi="Cambria" w:cs="Times New Roman"/>
      <w:sz w:val="24"/>
      <w:szCs w:val="24"/>
      <w:lang w:val="en-US" w:eastAsia="en-US"/>
    </w:rPr>
  </w:style>
  <w:style w:type="character" w:styleId="Hyperlink">
    <w:name w:val="Hyperlink"/>
    <w:uiPriority w:val="99"/>
    <w:rsid w:val="00583355"/>
    <w:rPr>
      <w:rFonts w:cs="Times New Roman"/>
      <w:color w:val="0000FF"/>
      <w:u w:val="single"/>
    </w:rPr>
  </w:style>
  <w:style w:type="paragraph" w:customStyle="1" w:styleId="StyleRight05">
    <w:name w:val="Style Right:  0.5&quot;"/>
    <w:basedOn w:val="Normal"/>
    <w:uiPriority w:val="99"/>
    <w:rsid w:val="00583355"/>
    <w:pPr>
      <w:tabs>
        <w:tab w:val="right" w:pos="8640"/>
      </w:tabs>
      <w:spacing w:line="480" w:lineRule="auto"/>
      <w:ind w:right="720"/>
    </w:pPr>
    <w:rPr>
      <w:rFonts w:ascii="Garamond" w:hAnsi="Garamond"/>
    </w:rPr>
  </w:style>
  <w:style w:type="paragraph" w:customStyle="1" w:styleId="AuthorInfo">
    <w:name w:val="Author Info"/>
    <w:basedOn w:val="Normal"/>
    <w:uiPriority w:val="99"/>
    <w:rsid w:val="00583355"/>
    <w:pPr>
      <w:tabs>
        <w:tab w:val="right" w:pos="8640"/>
      </w:tabs>
      <w:spacing w:line="480" w:lineRule="auto"/>
      <w:jc w:val="center"/>
    </w:pPr>
  </w:style>
  <w:style w:type="paragraph" w:customStyle="1" w:styleId="TitleOfPaperCover">
    <w:name w:val="TitleOfPaper_Cover"/>
    <w:basedOn w:val="Normal"/>
    <w:uiPriority w:val="99"/>
    <w:rsid w:val="00583355"/>
    <w:pPr>
      <w:keepNext/>
      <w:keepLines/>
      <w:tabs>
        <w:tab w:val="right" w:pos="8640"/>
      </w:tabs>
      <w:spacing w:line="480" w:lineRule="auto"/>
      <w:jc w:val="center"/>
    </w:pPr>
    <w:rPr>
      <w:szCs w:val="22"/>
    </w:rPr>
  </w:style>
  <w:style w:type="paragraph" w:customStyle="1" w:styleId="AbstractText">
    <w:name w:val="Abstract Text"/>
    <w:basedOn w:val="BodyText"/>
    <w:uiPriority w:val="99"/>
    <w:rsid w:val="00583355"/>
    <w:pPr>
      <w:keepNext/>
      <w:ind w:firstLine="0"/>
    </w:pPr>
    <w:rPr>
      <w:szCs w:val="22"/>
    </w:rPr>
  </w:style>
  <w:style w:type="paragraph" w:customStyle="1" w:styleId="Reference">
    <w:name w:val="Reference"/>
    <w:basedOn w:val="SectionHeading"/>
    <w:next w:val="Bibliography"/>
    <w:uiPriority w:val="99"/>
    <w:rsid w:val="006E7284"/>
    <w:rPr>
      <w:rFonts w:ascii="Times New Roman" w:hAnsi="Times New Roman"/>
      <w:lang w:val="en-GB"/>
    </w:rPr>
  </w:style>
  <w:style w:type="paragraph" w:customStyle="1" w:styleId="FigureCaptionLabel">
    <w:name w:val="Figure Caption Label"/>
    <w:basedOn w:val="Normal"/>
    <w:uiPriority w:val="99"/>
    <w:rsid w:val="00583355"/>
    <w:pPr>
      <w:keepNext/>
      <w:tabs>
        <w:tab w:val="right" w:pos="8640"/>
      </w:tabs>
      <w:spacing w:line="480" w:lineRule="auto"/>
    </w:pPr>
    <w:rPr>
      <w:i/>
    </w:rPr>
  </w:style>
  <w:style w:type="character" w:customStyle="1" w:styleId="FigureCaptionLabelChar">
    <w:name w:val="Figure Caption Label Char"/>
    <w:uiPriority w:val="99"/>
    <w:rsid w:val="00583355"/>
    <w:rPr>
      <w:rFonts w:ascii="Garamond" w:hAnsi="Garamond"/>
      <w:i/>
      <w:sz w:val="24"/>
      <w:lang w:val="en-US" w:eastAsia="en-US"/>
    </w:rPr>
  </w:style>
  <w:style w:type="paragraph" w:styleId="NormalWeb">
    <w:name w:val="Normal (Web)"/>
    <w:basedOn w:val="Normal"/>
    <w:uiPriority w:val="99"/>
    <w:rsid w:val="00583355"/>
    <w:pPr>
      <w:spacing w:before="100" w:beforeAutospacing="1" w:after="100" w:afterAutospacing="1"/>
    </w:pPr>
    <w:rPr>
      <w:color w:val="000000"/>
    </w:rPr>
  </w:style>
  <w:style w:type="paragraph" w:customStyle="1" w:styleId="TitleColumnHeading">
    <w:name w:val="Title Column Heading"/>
    <w:basedOn w:val="Normal"/>
    <w:uiPriority w:val="99"/>
    <w:rsid w:val="00583355"/>
    <w:pPr>
      <w:tabs>
        <w:tab w:val="right" w:pos="8640"/>
      </w:tabs>
      <w:spacing w:line="480" w:lineRule="auto"/>
      <w:jc w:val="center"/>
    </w:pPr>
    <w:rPr>
      <w:szCs w:val="20"/>
    </w:rPr>
  </w:style>
  <w:style w:type="paragraph" w:customStyle="1" w:styleId="TableNotes">
    <w:name w:val="Table Notes"/>
    <w:basedOn w:val="Normal"/>
    <w:autoRedefine/>
    <w:uiPriority w:val="99"/>
    <w:rsid w:val="00CD2CFC"/>
    <w:pPr>
      <w:tabs>
        <w:tab w:val="right" w:pos="8640"/>
      </w:tabs>
      <w:spacing w:line="480" w:lineRule="auto"/>
    </w:pPr>
    <w:rPr>
      <w:color w:val="000000"/>
      <w:sz w:val="18"/>
    </w:rPr>
  </w:style>
  <w:style w:type="paragraph" w:customStyle="1" w:styleId="TableBody">
    <w:name w:val="Table Body"/>
    <w:basedOn w:val="Normal"/>
    <w:autoRedefine/>
    <w:uiPriority w:val="99"/>
    <w:rsid w:val="00181B44"/>
    <w:pPr>
      <w:tabs>
        <w:tab w:val="right" w:pos="8640"/>
      </w:tabs>
      <w:spacing w:line="360" w:lineRule="auto"/>
      <w:jc w:val="center"/>
    </w:pPr>
    <w:rPr>
      <w:color w:val="000000"/>
      <w:sz w:val="22"/>
    </w:rPr>
  </w:style>
  <w:style w:type="paragraph" w:styleId="Footer">
    <w:name w:val="footer"/>
    <w:basedOn w:val="Normal"/>
    <w:link w:val="FooterChar"/>
    <w:uiPriority w:val="99"/>
    <w:rsid w:val="00583355"/>
    <w:pPr>
      <w:tabs>
        <w:tab w:val="center" w:pos="4320"/>
        <w:tab w:val="right" w:pos="8640"/>
      </w:tabs>
    </w:pPr>
  </w:style>
  <w:style w:type="character" w:customStyle="1" w:styleId="FooterChar">
    <w:name w:val="Footer Char"/>
    <w:link w:val="Footer"/>
    <w:uiPriority w:val="99"/>
    <w:semiHidden/>
    <w:locked/>
    <w:rPr>
      <w:rFonts w:cs="Times New Roman"/>
      <w:sz w:val="24"/>
      <w:szCs w:val="24"/>
      <w:lang w:val="en-US" w:eastAsia="en-US"/>
    </w:rPr>
  </w:style>
  <w:style w:type="character" w:styleId="FollowedHyperlink">
    <w:name w:val="FollowedHyperlink"/>
    <w:uiPriority w:val="99"/>
    <w:rsid w:val="0021478D"/>
    <w:rPr>
      <w:rFonts w:cs="Times New Roman"/>
      <w:color w:val="800080"/>
      <w:u w:val="single"/>
    </w:rPr>
  </w:style>
  <w:style w:type="character" w:styleId="HTMLCite">
    <w:name w:val="HTML Cite"/>
    <w:uiPriority w:val="99"/>
    <w:rsid w:val="00181B36"/>
    <w:rPr>
      <w:rFonts w:cs="Times New Roman"/>
      <w:i/>
    </w:rPr>
  </w:style>
  <w:style w:type="table" w:customStyle="1" w:styleId="MLAresearchpapertable">
    <w:name w:val="MLA research paper table"/>
    <w:uiPriority w:val="99"/>
    <w:rsid w:val="00181B44"/>
    <w:pPr>
      <w:spacing w:line="360" w:lineRule="auto"/>
    </w:pPr>
    <w:rPr>
      <w:rFonts w:ascii="Cambria" w:eastAsia="MS ??" w:hAnsi="Cambria"/>
      <w:sz w:val="24"/>
      <w:szCs w:val="24"/>
      <w:lang w:val="hr-HR" w:eastAsia="ja-JP"/>
    </w:rPr>
    <w:tblPr>
      <w:tblInd w:w="0" w:type="dxa"/>
      <w:tblBorders>
        <w:top w:val="single" w:sz="4" w:space="0" w:color="auto"/>
        <w:bottom w:val="single" w:sz="4" w:space="0" w:color="auto"/>
      </w:tblBorders>
      <w:tblCellMar>
        <w:top w:w="0" w:type="dxa"/>
        <w:left w:w="0" w:type="dxa"/>
        <w:bottom w:w="0" w:type="dxa"/>
        <w:right w:w="0" w:type="dxa"/>
      </w:tblCellMar>
    </w:tblPr>
  </w:style>
  <w:style w:type="paragraph" w:customStyle="1" w:styleId="MTDisplayEquation">
    <w:name w:val="MTDisplayEquation"/>
    <w:basedOn w:val="BodyText"/>
    <w:next w:val="Normal"/>
    <w:uiPriority w:val="99"/>
    <w:rsid w:val="007152D1"/>
    <w:pPr>
      <w:tabs>
        <w:tab w:val="clear" w:pos="8640"/>
        <w:tab w:val="center" w:pos="4680"/>
        <w:tab w:val="right" w:pos="9360"/>
      </w:tabs>
    </w:pPr>
  </w:style>
  <w:style w:type="paragraph" w:customStyle="1" w:styleId="TableTitle">
    <w:name w:val="Table Title"/>
    <w:basedOn w:val="Normal"/>
    <w:next w:val="Normal"/>
    <w:uiPriority w:val="99"/>
    <w:rsid w:val="00DB37D0"/>
    <w:pPr>
      <w:suppressAutoHyphens/>
      <w:spacing w:line="480" w:lineRule="auto"/>
      <w:ind w:left="360" w:hanging="360"/>
    </w:pPr>
    <w:rPr>
      <w:rFonts w:ascii="Cambria" w:eastAsia="MS ??" w:hAnsi="Cambria"/>
      <w:lang w:eastAsia="ja-JP"/>
    </w:rPr>
  </w:style>
  <w:style w:type="paragraph" w:styleId="BalloonText">
    <w:name w:val="Balloon Text"/>
    <w:basedOn w:val="Normal"/>
    <w:link w:val="BalloonTextChar"/>
    <w:uiPriority w:val="99"/>
    <w:rsid w:val="00782C07"/>
    <w:rPr>
      <w:rFonts w:ascii="Lucida Grande" w:hAnsi="Lucida Grande" w:cs="Lucida Grande"/>
      <w:sz w:val="18"/>
      <w:szCs w:val="18"/>
    </w:rPr>
  </w:style>
  <w:style w:type="character" w:customStyle="1" w:styleId="BalloonTextChar">
    <w:name w:val="Balloon Text Char"/>
    <w:link w:val="BalloonText"/>
    <w:uiPriority w:val="99"/>
    <w:locked/>
    <w:rsid w:val="00782C07"/>
    <w:rPr>
      <w:rFonts w:ascii="Lucida Grande" w:hAnsi="Lucida Grande" w:cs="Lucida Grande"/>
      <w:sz w:val="18"/>
      <w:szCs w:val="18"/>
    </w:rPr>
  </w:style>
  <w:style w:type="paragraph" w:styleId="Bibliography">
    <w:name w:val="Bibliography"/>
    <w:basedOn w:val="Normal"/>
    <w:next w:val="Normal"/>
    <w:uiPriority w:val="99"/>
    <w:semiHidden/>
    <w:rsid w:val="00920490"/>
  </w:style>
  <w:style w:type="paragraph" w:customStyle="1" w:styleId="Figuretitle">
    <w:name w:val="Figure title"/>
    <w:basedOn w:val="TableTitle"/>
    <w:uiPriority w:val="99"/>
    <w:rsid w:val="00CD2CFC"/>
  </w:style>
  <w:style w:type="paragraph" w:customStyle="1" w:styleId="Titlefigures">
    <w:name w:val="Title figures"/>
    <w:basedOn w:val="TableTitle"/>
    <w:uiPriority w:val="99"/>
    <w:rsid w:val="00CD2CFC"/>
  </w:style>
  <w:style w:type="paragraph" w:customStyle="1" w:styleId="Source">
    <w:name w:val="Source"/>
    <w:autoRedefine/>
    <w:uiPriority w:val="99"/>
    <w:rsid w:val="00CD2CFC"/>
    <w:rPr>
      <w:sz w:val="22"/>
      <w:szCs w:val="22"/>
    </w:rPr>
  </w:style>
  <w:style w:type="character" w:customStyle="1" w:styleId="MTConvertedEquation">
    <w:name w:val="MTConvertedEquation"/>
    <w:basedOn w:val="DefaultParagraphFont"/>
    <w:rsid w:val="00B672D2"/>
  </w:style>
  <w:style w:type="character" w:styleId="CommentReference">
    <w:name w:val="annotation reference"/>
    <w:uiPriority w:val="99"/>
    <w:semiHidden/>
    <w:unhideWhenUsed/>
    <w:rsid w:val="00AC48D4"/>
    <w:rPr>
      <w:sz w:val="18"/>
      <w:szCs w:val="18"/>
    </w:rPr>
  </w:style>
  <w:style w:type="paragraph" w:styleId="CommentText">
    <w:name w:val="annotation text"/>
    <w:basedOn w:val="Normal"/>
    <w:link w:val="CommentTextChar"/>
    <w:uiPriority w:val="99"/>
    <w:semiHidden/>
    <w:unhideWhenUsed/>
    <w:rsid w:val="00AC48D4"/>
  </w:style>
  <w:style w:type="character" w:customStyle="1" w:styleId="CommentTextChar">
    <w:name w:val="Comment Text Char"/>
    <w:link w:val="CommentText"/>
    <w:uiPriority w:val="99"/>
    <w:semiHidden/>
    <w:rsid w:val="00AC48D4"/>
    <w:rPr>
      <w:sz w:val="24"/>
      <w:szCs w:val="24"/>
      <w:lang w:val="en-GB"/>
    </w:rPr>
  </w:style>
  <w:style w:type="paragraph" w:styleId="CommentSubject">
    <w:name w:val="annotation subject"/>
    <w:basedOn w:val="CommentText"/>
    <w:next w:val="CommentText"/>
    <w:link w:val="CommentSubjectChar"/>
    <w:uiPriority w:val="99"/>
    <w:semiHidden/>
    <w:unhideWhenUsed/>
    <w:rsid w:val="00AC48D4"/>
    <w:rPr>
      <w:b/>
      <w:bCs/>
      <w:sz w:val="20"/>
      <w:szCs w:val="20"/>
    </w:rPr>
  </w:style>
  <w:style w:type="character" w:customStyle="1" w:styleId="CommentSubjectChar">
    <w:name w:val="Comment Subject Char"/>
    <w:link w:val="CommentSubject"/>
    <w:uiPriority w:val="99"/>
    <w:semiHidden/>
    <w:rsid w:val="00AC48D4"/>
    <w:rPr>
      <w:b/>
      <w:bCs/>
      <w:sz w:val="24"/>
      <w:szCs w:val="24"/>
      <w:lang w:val="en-GB"/>
    </w:rPr>
  </w:style>
  <w:style w:type="character" w:styleId="PlaceholderText">
    <w:name w:val="Placeholder Text"/>
    <w:basedOn w:val="DefaultParagraphFont"/>
    <w:uiPriority w:val="67"/>
    <w:rsid w:val="0050401A"/>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qFormat="1"/>
    <w:lsdException w:name="Medium Shading 2" w:semiHidden="0" w:uiPriority="73" w:unhideWhenUsed="0" w:qFormat="1"/>
    <w:lsdException w:name="Medium List 1" w:semiHidden="0" w:uiPriority="60" w:unhideWhenUsed="0" w:qFormat="1"/>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qFormat="1"/>
    <w:lsdException w:name="Colorful Shading Accent 5" w:semiHidden="0" w:uiPriority="66" w:unhideWhenUsed="0" w:qFormat="1"/>
    <w:lsdException w:name="Colorful List Accent 5" w:semiHidden="0" w:uiPriority="67" w:unhideWhenUsed="0" w:qFormat="1"/>
    <w:lsdException w:name="Colorful Grid Accent 5" w:semiHidden="0" w:uiPriority="68" w:unhideWhenUsed="0" w:qFormat="1"/>
    <w:lsdException w:name="Light Shading Accent 6" w:semiHidden="0" w:uiPriority="69" w:unhideWhenUsed="0" w:qFormat="1"/>
    <w:lsdException w:name="Light List Accent 6" w:semiHidden="0" w:uiPriority="70" w:unhideWhenUsed="0"/>
    <w:lsdException w:name="Light Grid Accent 6" w:semiHidden="0" w:uiPriority="71"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004"/>
    <w:rPr>
      <w:sz w:val="24"/>
      <w:szCs w:val="24"/>
      <w:lang w:val="en-GB"/>
    </w:rPr>
  </w:style>
  <w:style w:type="paragraph" w:styleId="Heading1">
    <w:name w:val="heading 1"/>
    <w:basedOn w:val="Normal"/>
    <w:next w:val="BodyText"/>
    <w:link w:val="Heading1Char"/>
    <w:autoRedefine/>
    <w:uiPriority w:val="99"/>
    <w:qFormat/>
    <w:rsid w:val="00725242"/>
    <w:pPr>
      <w:keepNext/>
      <w:tabs>
        <w:tab w:val="right" w:pos="8640"/>
      </w:tabs>
      <w:spacing w:line="480" w:lineRule="auto"/>
      <w:outlineLvl w:val="0"/>
    </w:pPr>
    <w:rPr>
      <w:b/>
      <w:szCs w:val="22"/>
    </w:rPr>
  </w:style>
  <w:style w:type="paragraph" w:styleId="Heading2">
    <w:name w:val="heading 2"/>
    <w:basedOn w:val="BodyText"/>
    <w:next w:val="Normal"/>
    <w:link w:val="Heading2Char"/>
    <w:autoRedefine/>
    <w:uiPriority w:val="99"/>
    <w:qFormat/>
    <w:rsid w:val="00AC48D4"/>
    <w:pPr>
      <w:ind w:firstLine="0"/>
      <w:outlineLvl w:val="1"/>
    </w:pPr>
    <w:rPr>
      <w:lang w:val="en-GB"/>
    </w:rPr>
  </w:style>
  <w:style w:type="paragraph" w:styleId="Heading3">
    <w:name w:val="heading 3"/>
    <w:basedOn w:val="BodyText"/>
    <w:next w:val="Normal"/>
    <w:link w:val="Heading3Char"/>
    <w:uiPriority w:val="99"/>
    <w:qFormat/>
    <w:rsid w:val="001A6F4D"/>
    <w:pPr>
      <w:outlineLvl w:val="2"/>
    </w:pPr>
    <w:rPr>
      <w:i/>
    </w:rPr>
  </w:style>
  <w:style w:type="paragraph" w:styleId="Heading8">
    <w:name w:val="heading 8"/>
    <w:basedOn w:val="Normal"/>
    <w:next w:val="Normal"/>
    <w:link w:val="Heading8Char"/>
    <w:uiPriority w:val="99"/>
    <w:qFormat/>
    <w:rsid w:val="00725242"/>
    <w:pPr>
      <w:keepNext/>
      <w:keepLines/>
      <w:spacing w:before="200"/>
      <w:outlineLvl w:val="7"/>
    </w:pPr>
    <w:rPr>
      <w:rFonts w:ascii="Calibri" w:eastAsia="MS ????" w:hAnsi="Calibr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val="en-US" w:eastAsia="en-US"/>
    </w:rPr>
  </w:style>
  <w:style w:type="character" w:customStyle="1" w:styleId="Heading2Char">
    <w:name w:val="Heading 2 Char"/>
    <w:link w:val="Heading2"/>
    <w:uiPriority w:val="99"/>
    <w:locked/>
    <w:rsid w:val="00AC48D4"/>
    <w:rPr>
      <w:sz w:val="24"/>
      <w:szCs w:val="24"/>
      <w:lang w:val="en-GB" w:eastAsia="hr-HR"/>
    </w:rPr>
  </w:style>
  <w:style w:type="character" w:customStyle="1" w:styleId="Heading3Char">
    <w:name w:val="Heading 3 Char"/>
    <w:link w:val="Heading3"/>
    <w:uiPriority w:val="99"/>
    <w:locked/>
    <w:rsid w:val="001A6F4D"/>
    <w:rPr>
      <w:rFonts w:cs="Times New Roman"/>
      <w:i/>
      <w:sz w:val="24"/>
      <w:szCs w:val="24"/>
    </w:rPr>
  </w:style>
  <w:style w:type="character" w:customStyle="1" w:styleId="Heading8Char">
    <w:name w:val="Heading 8 Char"/>
    <w:link w:val="Heading8"/>
    <w:uiPriority w:val="99"/>
    <w:semiHidden/>
    <w:locked/>
    <w:rsid w:val="00725242"/>
    <w:rPr>
      <w:rFonts w:ascii="Calibri" w:eastAsia="MS ????" w:hAnsi="Calibri" w:cs="Times New Roman"/>
      <w:color w:val="404040"/>
    </w:rPr>
  </w:style>
  <w:style w:type="paragraph" w:styleId="BodyText">
    <w:name w:val="Body Text"/>
    <w:basedOn w:val="Normal"/>
    <w:link w:val="BodyTextChar"/>
    <w:uiPriority w:val="99"/>
    <w:rsid w:val="00583355"/>
    <w:pPr>
      <w:tabs>
        <w:tab w:val="right" w:pos="8640"/>
      </w:tabs>
      <w:spacing w:line="480" w:lineRule="auto"/>
      <w:ind w:firstLine="720"/>
    </w:pPr>
    <w:rPr>
      <w:lang w:val="hr-HR" w:eastAsia="hr-HR"/>
    </w:rPr>
  </w:style>
  <w:style w:type="character" w:customStyle="1" w:styleId="BodyTextChar">
    <w:name w:val="Body Text Char"/>
    <w:link w:val="BodyText"/>
    <w:uiPriority w:val="99"/>
    <w:locked/>
    <w:rsid w:val="0001516E"/>
    <w:rPr>
      <w:rFonts w:cs="Times New Roman"/>
      <w:sz w:val="24"/>
    </w:rPr>
  </w:style>
  <w:style w:type="paragraph" w:customStyle="1" w:styleId="SectionHeading">
    <w:name w:val="SectionHeading"/>
    <w:uiPriority w:val="99"/>
    <w:rsid w:val="00583355"/>
    <w:pPr>
      <w:keepNext/>
      <w:pageBreakBefore/>
      <w:spacing w:line="480" w:lineRule="auto"/>
      <w:jc w:val="center"/>
    </w:pPr>
    <w:rPr>
      <w:rFonts w:ascii="Garamond" w:hAnsi="Garamond"/>
      <w:sz w:val="24"/>
      <w:szCs w:val="22"/>
    </w:rPr>
  </w:style>
  <w:style w:type="paragraph" w:styleId="Header">
    <w:name w:val="header"/>
    <w:basedOn w:val="Normal"/>
    <w:link w:val="HeaderChar"/>
    <w:uiPriority w:val="99"/>
    <w:rsid w:val="00583355"/>
    <w:pPr>
      <w:keepLines/>
      <w:tabs>
        <w:tab w:val="center" w:pos="4320"/>
        <w:tab w:val="right" w:pos="8640"/>
      </w:tabs>
      <w:spacing w:line="480" w:lineRule="auto"/>
      <w:jc w:val="center"/>
    </w:pPr>
  </w:style>
  <w:style w:type="character" w:customStyle="1" w:styleId="HeaderChar">
    <w:name w:val="Header Char"/>
    <w:link w:val="Header"/>
    <w:uiPriority w:val="99"/>
    <w:semiHidden/>
    <w:locked/>
    <w:rPr>
      <w:rFonts w:cs="Times New Roman"/>
      <w:sz w:val="24"/>
      <w:szCs w:val="24"/>
      <w:lang w:val="en-US" w:eastAsia="en-US"/>
    </w:rPr>
  </w:style>
  <w:style w:type="character" w:styleId="PageNumber">
    <w:name w:val="page number"/>
    <w:uiPriority w:val="99"/>
    <w:rsid w:val="00583355"/>
    <w:rPr>
      <w:rFonts w:cs="Times New Roman"/>
      <w:sz w:val="24"/>
    </w:rPr>
  </w:style>
  <w:style w:type="paragraph" w:styleId="Subtitle">
    <w:name w:val="Subtitle"/>
    <w:basedOn w:val="Normal"/>
    <w:next w:val="BodyText"/>
    <w:link w:val="SubtitleChar"/>
    <w:uiPriority w:val="99"/>
    <w:qFormat/>
    <w:rsid w:val="00583355"/>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uiPriority w:val="99"/>
    <w:locked/>
    <w:rPr>
      <w:rFonts w:ascii="Cambria" w:hAnsi="Cambria" w:cs="Times New Roman"/>
      <w:sz w:val="24"/>
      <w:szCs w:val="24"/>
      <w:lang w:val="en-US" w:eastAsia="en-US"/>
    </w:rPr>
  </w:style>
  <w:style w:type="character" w:styleId="Hyperlink">
    <w:name w:val="Hyperlink"/>
    <w:uiPriority w:val="99"/>
    <w:rsid w:val="00583355"/>
    <w:rPr>
      <w:rFonts w:cs="Times New Roman"/>
      <w:color w:val="0000FF"/>
      <w:u w:val="single"/>
    </w:rPr>
  </w:style>
  <w:style w:type="paragraph" w:customStyle="1" w:styleId="StyleRight05">
    <w:name w:val="Style Right:  0.5&quot;"/>
    <w:basedOn w:val="Normal"/>
    <w:uiPriority w:val="99"/>
    <w:rsid w:val="00583355"/>
    <w:pPr>
      <w:tabs>
        <w:tab w:val="right" w:pos="8640"/>
      </w:tabs>
      <w:spacing w:line="480" w:lineRule="auto"/>
      <w:ind w:right="720"/>
    </w:pPr>
    <w:rPr>
      <w:rFonts w:ascii="Garamond" w:hAnsi="Garamond"/>
    </w:rPr>
  </w:style>
  <w:style w:type="paragraph" w:customStyle="1" w:styleId="AuthorInfo">
    <w:name w:val="Author Info"/>
    <w:basedOn w:val="Normal"/>
    <w:uiPriority w:val="99"/>
    <w:rsid w:val="00583355"/>
    <w:pPr>
      <w:tabs>
        <w:tab w:val="right" w:pos="8640"/>
      </w:tabs>
      <w:spacing w:line="480" w:lineRule="auto"/>
      <w:jc w:val="center"/>
    </w:pPr>
  </w:style>
  <w:style w:type="paragraph" w:customStyle="1" w:styleId="TitleOfPaperCover">
    <w:name w:val="TitleOfPaper_Cover"/>
    <w:basedOn w:val="Normal"/>
    <w:uiPriority w:val="99"/>
    <w:rsid w:val="00583355"/>
    <w:pPr>
      <w:keepNext/>
      <w:keepLines/>
      <w:tabs>
        <w:tab w:val="right" w:pos="8640"/>
      </w:tabs>
      <w:spacing w:line="480" w:lineRule="auto"/>
      <w:jc w:val="center"/>
    </w:pPr>
    <w:rPr>
      <w:szCs w:val="22"/>
    </w:rPr>
  </w:style>
  <w:style w:type="paragraph" w:customStyle="1" w:styleId="AbstractText">
    <w:name w:val="Abstract Text"/>
    <w:basedOn w:val="BodyText"/>
    <w:uiPriority w:val="99"/>
    <w:rsid w:val="00583355"/>
    <w:pPr>
      <w:keepNext/>
      <w:ind w:firstLine="0"/>
    </w:pPr>
    <w:rPr>
      <w:szCs w:val="22"/>
    </w:rPr>
  </w:style>
  <w:style w:type="paragraph" w:customStyle="1" w:styleId="Reference">
    <w:name w:val="Reference"/>
    <w:basedOn w:val="SectionHeading"/>
    <w:next w:val="Bibliography"/>
    <w:uiPriority w:val="99"/>
    <w:rsid w:val="006E7284"/>
    <w:rPr>
      <w:rFonts w:ascii="Times New Roman" w:hAnsi="Times New Roman"/>
      <w:lang w:val="en-GB"/>
    </w:rPr>
  </w:style>
  <w:style w:type="paragraph" w:customStyle="1" w:styleId="FigureCaptionLabel">
    <w:name w:val="Figure Caption Label"/>
    <w:basedOn w:val="Normal"/>
    <w:uiPriority w:val="99"/>
    <w:rsid w:val="00583355"/>
    <w:pPr>
      <w:keepNext/>
      <w:tabs>
        <w:tab w:val="right" w:pos="8640"/>
      </w:tabs>
      <w:spacing w:line="480" w:lineRule="auto"/>
    </w:pPr>
    <w:rPr>
      <w:i/>
    </w:rPr>
  </w:style>
  <w:style w:type="character" w:customStyle="1" w:styleId="FigureCaptionLabelChar">
    <w:name w:val="Figure Caption Label Char"/>
    <w:uiPriority w:val="99"/>
    <w:rsid w:val="00583355"/>
    <w:rPr>
      <w:rFonts w:ascii="Garamond" w:hAnsi="Garamond"/>
      <w:i/>
      <w:sz w:val="24"/>
      <w:lang w:val="en-US" w:eastAsia="en-US"/>
    </w:rPr>
  </w:style>
  <w:style w:type="paragraph" w:styleId="NormalWeb">
    <w:name w:val="Normal (Web)"/>
    <w:basedOn w:val="Normal"/>
    <w:uiPriority w:val="99"/>
    <w:rsid w:val="00583355"/>
    <w:pPr>
      <w:spacing w:before="100" w:beforeAutospacing="1" w:after="100" w:afterAutospacing="1"/>
    </w:pPr>
    <w:rPr>
      <w:color w:val="000000"/>
    </w:rPr>
  </w:style>
  <w:style w:type="paragraph" w:customStyle="1" w:styleId="TitleColumnHeading">
    <w:name w:val="Title Column Heading"/>
    <w:basedOn w:val="Normal"/>
    <w:uiPriority w:val="99"/>
    <w:rsid w:val="00583355"/>
    <w:pPr>
      <w:tabs>
        <w:tab w:val="right" w:pos="8640"/>
      </w:tabs>
      <w:spacing w:line="480" w:lineRule="auto"/>
      <w:jc w:val="center"/>
    </w:pPr>
    <w:rPr>
      <w:szCs w:val="20"/>
    </w:rPr>
  </w:style>
  <w:style w:type="paragraph" w:customStyle="1" w:styleId="TableNotes">
    <w:name w:val="Table Notes"/>
    <w:basedOn w:val="Normal"/>
    <w:autoRedefine/>
    <w:uiPriority w:val="99"/>
    <w:rsid w:val="00CD2CFC"/>
    <w:pPr>
      <w:tabs>
        <w:tab w:val="right" w:pos="8640"/>
      </w:tabs>
      <w:spacing w:line="480" w:lineRule="auto"/>
    </w:pPr>
    <w:rPr>
      <w:color w:val="000000"/>
      <w:sz w:val="18"/>
    </w:rPr>
  </w:style>
  <w:style w:type="paragraph" w:customStyle="1" w:styleId="TableBody">
    <w:name w:val="Table Body"/>
    <w:basedOn w:val="Normal"/>
    <w:autoRedefine/>
    <w:uiPriority w:val="99"/>
    <w:rsid w:val="00181B44"/>
    <w:pPr>
      <w:tabs>
        <w:tab w:val="right" w:pos="8640"/>
      </w:tabs>
      <w:spacing w:line="360" w:lineRule="auto"/>
      <w:jc w:val="center"/>
    </w:pPr>
    <w:rPr>
      <w:color w:val="000000"/>
      <w:sz w:val="22"/>
    </w:rPr>
  </w:style>
  <w:style w:type="paragraph" w:styleId="Footer">
    <w:name w:val="footer"/>
    <w:basedOn w:val="Normal"/>
    <w:link w:val="FooterChar"/>
    <w:uiPriority w:val="99"/>
    <w:rsid w:val="00583355"/>
    <w:pPr>
      <w:tabs>
        <w:tab w:val="center" w:pos="4320"/>
        <w:tab w:val="right" w:pos="8640"/>
      </w:tabs>
    </w:pPr>
  </w:style>
  <w:style w:type="character" w:customStyle="1" w:styleId="FooterChar">
    <w:name w:val="Footer Char"/>
    <w:link w:val="Footer"/>
    <w:uiPriority w:val="99"/>
    <w:semiHidden/>
    <w:locked/>
    <w:rPr>
      <w:rFonts w:cs="Times New Roman"/>
      <w:sz w:val="24"/>
      <w:szCs w:val="24"/>
      <w:lang w:val="en-US" w:eastAsia="en-US"/>
    </w:rPr>
  </w:style>
  <w:style w:type="character" w:styleId="FollowedHyperlink">
    <w:name w:val="FollowedHyperlink"/>
    <w:uiPriority w:val="99"/>
    <w:rsid w:val="0021478D"/>
    <w:rPr>
      <w:rFonts w:cs="Times New Roman"/>
      <w:color w:val="800080"/>
      <w:u w:val="single"/>
    </w:rPr>
  </w:style>
  <w:style w:type="character" w:styleId="HTMLCite">
    <w:name w:val="HTML Cite"/>
    <w:uiPriority w:val="99"/>
    <w:rsid w:val="00181B36"/>
    <w:rPr>
      <w:rFonts w:cs="Times New Roman"/>
      <w:i/>
    </w:rPr>
  </w:style>
  <w:style w:type="table" w:customStyle="1" w:styleId="MLAresearchpapertable">
    <w:name w:val="MLA research paper table"/>
    <w:uiPriority w:val="99"/>
    <w:rsid w:val="00181B44"/>
    <w:pPr>
      <w:spacing w:line="360" w:lineRule="auto"/>
    </w:pPr>
    <w:rPr>
      <w:rFonts w:ascii="Cambria" w:eastAsia="MS ??" w:hAnsi="Cambria"/>
      <w:sz w:val="24"/>
      <w:szCs w:val="24"/>
      <w:lang w:val="hr-HR" w:eastAsia="ja-JP"/>
    </w:rPr>
    <w:tblPr>
      <w:tblInd w:w="0" w:type="dxa"/>
      <w:tblBorders>
        <w:top w:val="single" w:sz="4" w:space="0" w:color="auto"/>
        <w:bottom w:val="single" w:sz="4" w:space="0" w:color="auto"/>
      </w:tblBorders>
      <w:tblCellMar>
        <w:top w:w="0" w:type="dxa"/>
        <w:left w:w="0" w:type="dxa"/>
        <w:bottom w:w="0" w:type="dxa"/>
        <w:right w:w="0" w:type="dxa"/>
      </w:tblCellMar>
    </w:tblPr>
  </w:style>
  <w:style w:type="paragraph" w:customStyle="1" w:styleId="MTDisplayEquation">
    <w:name w:val="MTDisplayEquation"/>
    <w:basedOn w:val="BodyText"/>
    <w:next w:val="Normal"/>
    <w:uiPriority w:val="99"/>
    <w:rsid w:val="007152D1"/>
    <w:pPr>
      <w:tabs>
        <w:tab w:val="clear" w:pos="8640"/>
        <w:tab w:val="center" w:pos="4680"/>
        <w:tab w:val="right" w:pos="9360"/>
      </w:tabs>
    </w:pPr>
  </w:style>
  <w:style w:type="paragraph" w:customStyle="1" w:styleId="TableTitle">
    <w:name w:val="Table Title"/>
    <w:basedOn w:val="Normal"/>
    <w:next w:val="Normal"/>
    <w:uiPriority w:val="99"/>
    <w:rsid w:val="00DB37D0"/>
    <w:pPr>
      <w:suppressAutoHyphens/>
      <w:spacing w:line="480" w:lineRule="auto"/>
      <w:ind w:left="360" w:hanging="360"/>
    </w:pPr>
    <w:rPr>
      <w:rFonts w:ascii="Cambria" w:eastAsia="MS ??" w:hAnsi="Cambria"/>
      <w:lang w:eastAsia="ja-JP"/>
    </w:rPr>
  </w:style>
  <w:style w:type="paragraph" w:styleId="BalloonText">
    <w:name w:val="Balloon Text"/>
    <w:basedOn w:val="Normal"/>
    <w:link w:val="BalloonTextChar"/>
    <w:uiPriority w:val="99"/>
    <w:rsid w:val="00782C07"/>
    <w:rPr>
      <w:rFonts w:ascii="Lucida Grande" w:hAnsi="Lucida Grande" w:cs="Lucida Grande"/>
      <w:sz w:val="18"/>
      <w:szCs w:val="18"/>
    </w:rPr>
  </w:style>
  <w:style w:type="character" w:customStyle="1" w:styleId="BalloonTextChar">
    <w:name w:val="Balloon Text Char"/>
    <w:link w:val="BalloonText"/>
    <w:uiPriority w:val="99"/>
    <w:locked/>
    <w:rsid w:val="00782C07"/>
    <w:rPr>
      <w:rFonts w:ascii="Lucida Grande" w:hAnsi="Lucida Grande" w:cs="Lucida Grande"/>
      <w:sz w:val="18"/>
      <w:szCs w:val="18"/>
    </w:rPr>
  </w:style>
  <w:style w:type="paragraph" w:styleId="Bibliography">
    <w:name w:val="Bibliography"/>
    <w:basedOn w:val="Normal"/>
    <w:next w:val="Normal"/>
    <w:uiPriority w:val="99"/>
    <w:semiHidden/>
    <w:rsid w:val="00920490"/>
  </w:style>
  <w:style w:type="paragraph" w:customStyle="1" w:styleId="Figuretitle">
    <w:name w:val="Figure title"/>
    <w:basedOn w:val="TableTitle"/>
    <w:uiPriority w:val="99"/>
    <w:rsid w:val="00CD2CFC"/>
  </w:style>
  <w:style w:type="paragraph" w:customStyle="1" w:styleId="Titlefigures">
    <w:name w:val="Title figures"/>
    <w:basedOn w:val="TableTitle"/>
    <w:uiPriority w:val="99"/>
    <w:rsid w:val="00CD2CFC"/>
  </w:style>
  <w:style w:type="paragraph" w:customStyle="1" w:styleId="Source">
    <w:name w:val="Source"/>
    <w:autoRedefine/>
    <w:uiPriority w:val="99"/>
    <w:rsid w:val="00CD2CFC"/>
    <w:rPr>
      <w:sz w:val="22"/>
      <w:szCs w:val="22"/>
    </w:rPr>
  </w:style>
  <w:style w:type="character" w:customStyle="1" w:styleId="MTConvertedEquation">
    <w:name w:val="MTConvertedEquation"/>
    <w:basedOn w:val="DefaultParagraphFont"/>
    <w:rsid w:val="00B672D2"/>
  </w:style>
  <w:style w:type="character" w:styleId="CommentReference">
    <w:name w:val="annotation reference"/>
    <w:uiPriority w:val="99"/>
    <w:semiHidden/>
    <w:unhideWhenUsed/>
    <w:rsid w:val="00AC48D4"/>
    <w:rPr>
      <w:sz w:val="18"/>
      <w:szCs w:val="18"/>
    </w:rPr>
  </w:style>
  <w:style w:type="paragraph" w:styleId="CommentText">
    <w:name w:val="annotation text"/>
    <w:basedOn w:val="Normal"/>
    <w:link w:val="CommentTextChar"/>
    <w:uiPriority w:val="99"/>
    <w:semiHidden/>
    <w:unhideWhenUsed/>
    <w:rsid w:val="00AC48D4"/>
  </w:style>
  <w:style w:type="character" w:customStyle="1" w:styleId="CommentTextChar">
    <w:name w:val="Comment Text Char"/>
    <w:link w:val="CommentText"/>
    <w:uiPriority w:val="99"/>
    <w:semiHidden/>
    <w:rsid w:val="00AC48D4"/>
    <w:rPr>
      <w:sz w:val="24"/>
      <w:szCs w:val="24"/>
      <w:lang w:val="en-GB"/>
    </w:rPr>
  </w:style>
  <w:style w:type="paragraph" w:styleId="CommentSubject">
    <w:name w:val="annotation subject"/>
    <w:basedOn w:val="CommentText"/>
    <w:next w:val="CommentText"/>
    <w:link w:val="CommentSubjectChar"/>
    <w:uiPriority w:val="99"/>
    <w:semiHidden/>
    <w:unhideWhenUsed/>
    <w:rsid w:val="00AC48D4"/>
    <w:rPr>
      <w:b/>
      <w:bCs/>
      <w:sz w:val="20"/>
      <w:szCs w:val="20"/>
    </w:rPr>
  </w:style>
  <w:style w:type="character" w:customStyle="1" w:styleId="CommentSubjectChar">
    <w:name w:val="Comment Subject Char"/>
    <w:link w:val="CommentSubject"/>
    <w:uiPriority w:val="99"/>
    <w:semiHidden/>
    <w:rsid w:val="00AC48D4"/>
    <w:rPr>
      <w:b/>
      <w:bCs/>
      <w:sz w:val="24"/>
      <w:szCs w:val="24"/>
      <w:lang w:val="en-GB"/>
    </w:rPr>
  </w:style>
  <w:style w:type="character" w:styleId="PlaceholderText">
    <w:name w:val="Placeholder Text"/>
    <w:basedOn w:val="DefaultParagraphFont"/>
    <w:uiPriority w:val="67"/>
    <w:rsid w:val="005040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384483">
      <w:marLeft w:val="0"/>
      <w:marRight w:val="0"/>
      <w:marTop w:val="0"/>
      <w:marBottom w:val="0"/>
      <w:divBdr>
        <w:top w:val="none" w:sz="0" w:space="0" w:color="auto"/>
        <w:left w:val="none" w:sz="0" w:space="0" w:color="auto"/>
        <w:bottom w:val="none" w:sz="0" w:space="0" w:color="auto"/>
        <w:right w:val="none" w:sz="0" w:space="0" w:color="auto"/>
      </w:divBdr>
    </w:div>
    <w:div w:id="875384484">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4" Type="http://schemas.openxmlformats.org/officeDocument/2006/relationships/image" Target="media/image3.wmf"/><Relationship Id="rId15" Type="http://schemas.openxmlformats.org/officeDocument/2006/relationships/oleObject" Target="embeddings/oleObject3.bin"/><Relationship Id="rId16" Type="http://schemas.openxmlformats.org/officeDocument/2006/relationships/image" Target="media/image4.wmf"/><Relationship Id="rId17" Type="http://schemas.openxmlformats.org/officeDocument/2006/relationships/oleObject" Target="embeddings/oleObject4.bin"/><Relationship Id="rId18" Type="http://schemas.openxmlformats.org/officeDocument/2006/relationships/image" Target="media/image5.wmf"/><Relationship Id="rId19" Type="http://schemas.openxmlformats.org/officeDocument/2006/relationships/oleObject" Target="embeddings/oleObject5.bin"/><Relationship Id="rId50" Type="http://schemas.openxmlformats.org/officeDocument/2006/relationships/image" Target="media/image22.emf"/><Relationship Id="rId51" Type="http://schemas.openxmlformats.org/officeDocument/2006/relationships/oleObject" Target="embeddings/oleObject20.bin"/><Relationship Id="rId52" Type="http://schemas.openxmlformats.org/officeDocument/2006/relationships/image" Target="media/image23.emf"/><Relationship Id="rId53" Type="http://schemas.openxmlformats.org/officeDocument/2006/relationships/image" Target="media/image24.emf"/><Relationship Id="rId54" Type="http://schemas.openxmlformats.org/officeDocument/2006/relationships/header" Target="header1.xml"/><Relationship Id="rId55" Type="http://schemas.openxmlformats.org/officeDocument/2006/relationships/header" Target="header2.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image" Target="media/image17.wmf"/><Relationship Id="rId41" Type="http://schemas.openxmlformats.org/officeDocument/2006/relationships/oleObject" Target="embeddings/oleObject15.bin"/><Relationship Id="rId42" Type="http://schemas.openxmlformats.org/officeDocument/2006/relationships/image" Target="media/image18.wmf"/><Relationship Id="rId43" Type="http://schemas.openxmlformats.org/officeDocument/2006/relationships/oleObject" Target="embeddings/oleObject16.bin"/><Relationship Id="rId44" Type="http://schemas.openxmlformats.org/officeDocument/2006/relationships/image" Target="media/image19.wmf"/><Relationship Id="rId45" Type="http://schemas.openxmlformats.org/officeDocument/2006/relationships/oleObject" Target="embeddings/oleObject17.bin"/><Relationship Id="rId46" Type="http://schemas.openxmlformats.org/officeDocument/2006/relationships/image" Target="media/image20.emf"/><Relationship Id="rId47" Type="http://schemas.openxmlformats.org/officeDocument/2006/relationships/oleObject" Target="embeddings/oleObject18.bin"/><Relationship Id="rId48" Type="http://schemas.openxmlformats.org/officeDocument/2006/relationships/image" Target="media/image21.wmf"/><Relationship Id="rId49" Type="http://schemas.openxmlformats.org/officeDocument/2006/relationships/oleObject" Target="embeddings/oleObject19.bin"/><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30" Type="http://schemas.openxmlformats.org/officeDocument/2006/relationships/image" Target="media/image12.wmf"/><Relationship Id="rId31" Type="http://schemas.openxmlformats.org/officeDocument/2006/relationships/oleObject" Target="embeddings/oleObject10.bin"/><Relationship Id="rId32" Type="http://schemas.openxmlformats.org/officeDocument/2006/relationships/image" Target="media/image13.wmf"/><Relationship Id="rId33" Type="http://schemas.openxmlformats.org/officeDocument/2006/relationships/oleObject" Target="embeddings/oleObject11.bin"/><Relationship Id="rId34" Type="http://schemas.openxmlformats.org/officeDocument/2006/relationships/image" Target="media/image14.wmf"/><Relationship Id="rId35" Type="http://schemas.openxmlformats.org/officeDocument/2006/relationships/oleObject" Target="embeddings/oleObject12.bin"/><Relationship Id="rId36" Type="http://schemas.openxmlformats.org/officeDocument/2006/relationships/image" Target="media/image15.emf"/><Relationship Id="rId37" Type="http://schemas.openxmlformats.org/officeDocument/2006/relationships/oleObject" Target="embeddings/oleObject13.bin"/><Relationship Id="rId38" Type="http://schemas.openxmlformats.org/officeDocument/2006/relationships/image" Target="media/image16.wmf"/><Relationship Id="rId39" Type="http://schemas.openxmlformats.org/officeDocument/2006/relationships/oleObject" Target="embeddings/oleObject14.bin"/><Relationship Id="rId20" Type="http://schemas.openxmlformats.org/officeDocument/2006/relationships/image" Target="media/image6.wmf"/><Relationship Id="rId21" Type="http://schemas.openxmlformats.org/officeDocument/2006/relationships/oleObject" Target="embeddings/oleObject6.bin"/><Relationship Id="rId22" Type="http://schemas.openxmlformats.org/officeDocument/2006/relationships/image" Target="media/image7.emf"/><Relationship Id="rId23" Type="http://schemas.openxmlformats.org/officeDocument/2006/relationships/oleObject" Target="embeddings/oleObject7.bin"/><Relationship Id="rId24" Type="http://schemas.openxmlformats.org/officeDocument/2006/relationships/image" Target="media/image8.wmf"/><Relationship Id="rId25" Type="http://schemas.openxmlformats.org/officeDocument/2006/relationships/oleObject" Target="embeddings/oleObject8.bin"/><Relationship Id="rId26" Type="http://schemas.openxmlformats.org/officeDocument/2006/relationships/image" Target="media/image9.emf"/><Relationship Id="rId27" Type="http://schemas.openxmlformats.org/officeDocument/2006/relationships/image" Target="media/image10.emf"/><Relationship Id="rId28" Type="http://schemas.openxmlformats.org/officeDocument/2006/relationships/oleObject" Target="embeddings/oleObject9.bin"/><Relationship Id="rId29" Type="http://schemas.openxmlformats.org/officeDocument/2006/relationships/image" Target="media/image11.emf"/><Relationship Id="rId10" Type="http://schemas.openxmlformats.org/officeDocument/2006/relationships/image" Target="media/image1.wmf"/><Relationship Id="rId11" Type="http://schemas.openxmlformats.org/officeDocument/2006/relationships/oleObject" Target="embeddings/oleObject1.bin"/><Relationship Id="rId1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00AD-2355-9C4F-99D7-36C977D6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13087</Words>
  <Characters>74599</Characters>
  <Application>Microsoft Macintosh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APA Format 6th Edition Template</vt:lpstr>
    </vt:vector>
  </TitlesOfParts>
  <Company>SIUE</Company>
  <LinksUpToDate>false</LinksUpToDate>
  <CharactersWithSpaces>87511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Format 6th Edition Template</dc:title>
  <dc:creator>Marinko Skare</dc:creator>
  <cp:lastModifiedBy>Guglielmo Maria Caporale</cp:lastModifiedBy>
  <cp:revision>5</cp:revision>
  <cp:lastPrinted>2014-02-17T13:12:00Z</cp:lastPrinted>
  <dcterms:created xsi:type="dcterms:W3CDTF">2016-04-12T08:28:00Z</dcterms:created>
  <dcterms:modified xsi:type="dcterms:W3CDTF">2018-06-20T19:21:00Z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id="http://www.zotero.org/styles/apa"/&gt;&lt;hasBiblio/&gt;&lt;format class="21"/&gt;&lt;count citations="67" publications="50"/&gt;&lt;/info&gt;PAPERS2_INFO_END</vt:lpwstr>
  </property>
  <property fmtid="{D5CDD505-2E9C-101B-9397-08002B2CF9AE}" pid="3" name="MTWinEqns">
    <vt:bool>true</vt:bool>
  </property>
</Properties>
</file>