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E1BB" w14:textId="77777777" w:rsidR="00F22AAC" w:rsidRDefault="00F22AAC" w:rsidP="00804FDC">
      <w:pPr>
        <w:spacing w:after="0" w:line="360" w:lineRule="auto"/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 xml:space="preserve">PRACTICE: Physical Rehabilitation Core Outcomes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Critical illne</w:t>
      </w:r>
      <w:r w:rsidRPr="00B44FAE">
        <w:rPr>
          <w:b/>
        </w:rPr>
        <w:t>ss</w:t>
      </w:r>
      <w:r w:rsidR="0021587B">
        <w:rPr>
          <w:b/>
        </w:rPr>
        <w:t>; results of a Delphi consensus study to develop a core outco</w:t>
      </w:r>
      <w:r w:rsidR="00AE4DF4">
        <w:rPr>
          <w:b/>
        </w:rPr>
        <w:t>me set</w:t>
      </w:r>
    </w:p>
    <w:p w14:paraId="169C8B18" w14:textId="77777777" w:rsidR="00F22AAC" w:rsidRPr="00B44FAE" w:rsidRDefault="00F22AAC" w:rsidP="00804FDC">
      <w:pPr>
        <w:spacing w:after="0" w:line="360" w:lineRule="auto"/>
        <w:contextualSpacing/>
        <w:jc w:val="both"/>
        <w:rPr>
          <w:vertAlign w:val="superscript"/>
        </w:rPr>
      </w:pPr>
      <w:r w:rsidRPr="00B44FAE">
        <w:t>Bronwen Connolly</w:t>
      </w:r>
      <w:r w:rsidR="00A445DA">
        <w:rPr>
          <w:vertAlign w:val="superscript"/>
        </w:rPr>
        <w:t>1, 2, 3</w:t>
      </w:r>
      <w:r w:rsidRPr="00B44FAE">
        <w:t xml:space="preserve">, </w:t>
      </w:r>
      <w:r>
        <w:t>Matthew Barclay</w:t>
      </w:r>
      <w:r>
        <w:rPr>
          <w:vertAlign w:val="superscript"/>
        </w:rPr>
        <w:t>1</w:t>
      </w:r>
      <w:r>
        <w:t xml:space="preserve">, </w:t>
      </w:r>
      <w:r w:rsidR="00A445DA">
        <w:t>Evelyn Corner</w:t>
      </w:r>
      <w:r w:rsidR="00A445DA">
        <w:rPr>
          <w:vertAlign w:val="superscript"/>
        </w:rPr>
        <w:t>4</w:t>
      </w:r>
      <w:r w:rsidR="00A445DA">
        <w:t>, Chantal Davies</w:t>
      </w:r>
      <w:r w:rsidR="00A445DA">
        <w:rPr>
          <w:vertAlign w:val="superscript"/>
        </w:rPr>
        <w:t>5</w:t>
      </w:r>
      <w:r w:rsidR="00A445DA">
        <w:t>,</w:t>
      </w:r>
      <w:r w:rsidRPr="00B44FAE">
        <w:t xml:space="preserve"> Nicholas Hart</w:t>
      </w:r>
      <w:r w:rsidR="00A445DA">
        <w:rPr>
          <w:vertAlign w:val="superscript"/>
        </w:rPr>
        <w:t>1, 2</w:t>
      </w:r>
      <w:r w:rsidRPr="00B44FAE">
        <w:t>, Natalie Pattison</w:t>
      </w:r>
      <w:r w:rsidR="00A445DA">
        <w:rPr>
          <w:vertAlign w:val="superscript"/>
        </w:rPr>
        <w:t>6</w:t>
      </w:r>
      <w:r w:rsidRPr="00B44FAE">
        <w:t xml:space="preserve">, </w:t>
      </w:r>
      <w:r w:rsidR="00A445DA">
        <w:t>Gordon Sturmey</w:t>
      </w:r>
      <w:r w:rsidR="00A445DA">
        <w:rPr>
          <w:vertAlign w:val="superscript"/>
        </w:rPr>
        <w:t>5</w:t>
      </w:r>
      <w:r w:rsidR="00A445DA">
        <w:t xml:space="preserve">, </w:t>
      </w:r>
      <w:r w:rsidRPr="00B44FAE">
        <w:t>Linda Denehy</w:t>
      </w:r>
      <w:r w:rsidR="00A445DA">
        <w:rPr>
          <w:vertAlign w:val="superscript"/>
        </w:rPr>
        <w:t>3</w:t>
      </w:r>
      <w:r w:rsidR="00071C05">
        <w:t>,</w:t>
      </w:r>
      <w:r>
        <w:t xml:space="preserve"> Dale Needham</w:t>
      </w:r>
      <w:r w:rsidR="00A445DA">
        <w:rPr>
          <w:vertAlign w:val="superscript"/>
        </w:rPr>
        <w:t>7</w:t>
      </w:r>
      <w:r>
        <w:t xml:space="preserve">, </w:t>
      </w:r>
      <w:r w:rsidRPr="00B44FAE">
        <w:t>Paula Williamson</w:t>
      </w:r>
      <w:r w:rsidR="00EC350E">
        <w:rPr>
          <w:vertAlign w:val="superscript"/>
        </w:rPr>
        <w:t>8</w:t>
      </w:r>
      <w:r w:rsidRPr="00B44FAE">
        <w:t xml:space="preserve">, </w:t>
      </w:r>
      <w:proofErr w:type="spellStart"/>
      <w:r w:rsidRPr="00B44FAE">
        <w:t>Bronagh</w:t>
      </w:r>
      <w:proofErr w:type="spellEnd"/>
      <w:r w:rsidRPr="00B44FAE">
        <w:t xml:space="preserve"> Blackwood</w:t>
      </w:r>
      <w:r w:rsidR="00EC350E">
        <w:rPr>
          <w:vertAlign w:val="superscript"/>
        </w:rPr>
        <w:t>9</w:t>
      </w:r>
    </w:p>
    <w:p w14:paraId="0E90C820" w14:textId="77777777" w:rsidR="00F22AAC" w:rsidRPr="00B44FAE" w:rsidRDefault="00F22AAC" w:rsidP="00804FDC">
      <w:pPr>
        <w:spacing w:after="0" w:line="480" w:lineRule="auto"/>
        <w:contextualSpacing/>
        <w:jc w:val="both"/>
      </w:pPr>
    </w:p>
    <w:p w14:paraId="635A3423" w14:textId="77777777" w:rsidR="00F22AAC" w:rsidRPr="00B44FAE" w:rsidRDefault="00F22AAC" w:rsidP="00804FDC">
      <w:pPr>
        <w:spacing w:after="0" w:line="240" w:lineRule="auto"/>
        <w:contextualSpacing/>
        <w:jc w:val="both"/>
      </w:pPr>
      <w:proofErr w:type="gramStart"/>
      <w:r w:rsidRPr="00B44FAE">
        <w:rPr>
          <w:vertAlign w:val="superscript"/>
        </w:rPr>
        <w:t>1</w:t>
      </w:r>
      <w:r w:rsidRPr="00B44FAE">
        <w:t xml:space="preserve">Lane Fox Clinical Respiratory Physiology Research Centre, </w:t>
      </w:r>
      <w:r w:rsidR="00A445DA">
        <w:t xml:space="preserve">Guy’s and </w:t>
      </w:r>
      <w:proofErr w:type="spellStart"/>
      <w:r w:rsidR="00A445DA">
        <w:t>St.Thomas</w:t>
      </w:r>
      <w:proofErr w:type="spellEnd"/>
      <w:r w:rsidR="00A445DA">
        <w:t xml:space="preserve">’ NHS Foundation Trust, </w:t>
      </w:r>
      <w:r w:rsidRPr="00B44FAE">
        <w:t xml:space="preserve">London, UK, </w:t>
      </w:r>
      <w:r w:rsidR="00A445DA">
        <w:rPr>
          <w:vertAlign w:val="superscript"/>
        </w:rPr>
        <w:t>2</w:t>
      </w:r>
      <w:r w:rsidRPr="00B44FAE">
        <w:t>Centre for Human and A</w:t>
      </w:r>
      <w:r w:rsidR="00A445DA">
        <w:t>pplied</w:t>
      </w:r>
      <w:r w:rsidRPr="00B44FAE">
        <w:t xml:space="preserve"> Physiological Sciences, King’s College London, UK, </w:t>
      </w:r>
      <w:r w:rsidR="00A445DA">
        <w:rPr>
          <w:vertAlign w:val="superscript"/>
        </w:rPr>
        <w:t>3</w:t>
      </w:r>
      <w:r w:rsidRPr="00B44FAE">
        <w:t xml:space="preserve">Department of Physiotherapy, The University of Melbourne, Australia, </w:t>
      </w:r>
      <w:r w:rsidR="00A445DA">
        <w:rPr>
          <w:rFonts w:cs="Calibri"/>
          <w:vertAlign w:val="superscript"/>
        </w:rPr>
        <w:t>4</w:t>
      </w:r>
      <w:r w:rsidR="00A445DA">
        <w:rPr>
          <w:rFonts w:cs="Calibri"/>
        </w:rPr>
        <w:t xml:space="preserve">Department of Physiotherapy, Brunel University, Middlesex, UK, </w:t>
      </w:r>
      <w:r w:rsidR="00A445DA">
        <w:rPr>
          <w:rFonts w:cs="Calibri"/>
          <w:vertAlign w:val="superscript"/>
        </w:rPr>
        <w:t>5</w:t>
      </w:r>
      <w:r w:rsidR="00A445DA">
        <w:rPr>
          <w:rFonts w:cs="Calibri"/>
        </w:rPr>
        <w:t xml:space="preserve">Independent ICU Patient representative, UK, </w:t>
      </w:r>
      <w:r w:rsidR="00A445DA">
        <w:rPr>
          <w:vertAlign w:val="superscript"/>
        </w:rPr>
        <w:t>6</w:t>
      </w:r>
      <w:r w:rsidRPr="00B44FAE">
        <w:rPr>
          <w:rFonts w:cs="Calibri"/>
        </w:rPr>
        <w:t xml:space="preserve">School of Health and Social Work, University of Hertfordshire and East &amp; North Hertfordshire NHS Trust, Hertfordshire, UK, </w:t>
      </w:r>
      <w:r w:rsidR="00A445DA">
        <w:rPr>
          <w:rFonts w:cs="Calibri"/>
          <w:vertAlign w:val="superscript"/>
        </w:rPr>
        <w:t>7</w:t>
      </w:r>
      <w:r w:rsidR="00A445DA">
        <w:rPr>
          <w:lang w:val="en-US"/>
        </w:rPr>
        <w:t>Division of Pulmonary &amp; Critical Care Medicine, Johns Hopkins University</w:t>
      </w:r>
      <w:r w:rsidR="00EC350E">
        <w:rPr>
          <w:lang w:val="en-US"/>
        </w:rPr>
        <w:t xml:space="preserve">, Baltimore, US, </w:t>
      </w:r>
      <w:r w:rsidR="00EC350E">
        <w:rPr>
          <w:vertAlign w:val="superscript"/>
          <w:lang w:val="en-US"/>
        </w:rPr>
        <w:t>8</w:t>
      </w:r>
      <w:r w:rsidRPr="00B44FAE">
        <w:rPr>
          <w:rFonts w:cs="Calibri"/>
        </w:rPr>
        <w:t xml:space="preserve">MRC North West Hub for Trials Methodology Research, University of Liverpool, Liverpool, UK, </w:t>
      </w:r>
      <w:r w:rsidR="00EC350E">
        <w:rPr>
          <w:rFonts w:cs="Calibri"/>
          <w:vertAlign w:val="superscript"/>
        </w:rPr>
        <w:t>9</w:t>
      </w:r>
      <w:r>
        <w:rPr>
          <w:rFonts w:cs="Calibri"/>
        </w:rPr>
        <w:t xml:space="preserve">Wellcome Wolfson Institute for Experimental Medicine, </w:t>
      </w:r>
      <w:r w:rsidRPr="00B44FAE">
        <w:t>Queen’s University Belfast, Northern Ireland, UK</w:t>
      </w:r>
      <w:proofErr w:type="gramEnd"/>
    </w:p>
    <w:p w14:paraId="168F0B9E" w14:textId="77777777" w:rsidR="00AE4DF4" w:rsidRPr="00042329" w:rsidRDefault="00AE4DF4" w:rsidP="00804FDC">
      <w:pPr>
        <w:spacing w:after="0" w:line="360" w:lineRule="auto"/>
        <w:jc w:val="both"/>
        <w:rPr>
          <w:b/>
        </w:rPr>
      </w:pPr>
    </w:p>
    <w:p w14:paraId="08BD6B44" w14:textId="77777777" w:rsidR="00AE4DF4" w:rsidRPr="00042329" w:rsidRDefault="00042329" w:rsidP="00804FDC">
      <w:pPr>
        <w:spacing w:after="0" w:line="360" w:lineRule="auto"/>
        <w:jc w:val="both"/>
        <w:rPr>
          <w:b/>
        </w:rPr>
      </w:pPr>
      <w:r w:rsidRPr="00042329">
        <w:rPr>
          <w:b/>
        </w:rPr>
        <w:t>Rationale</w:t>
      </w:r>
    </w:p>
    <w:p w14:paraId="65C8D263" w14:textId="77777777" w:rsidR="00042329" w:rsidRDefault="00042329" w:rsidP="00804FDC">
      <w:pPr>
        <w:spacing w:after="0" w:line="360" w:lineRule="auto"/>
        <w:jc w:val="both"/>
      </w:pPr>
      <w:r>
        <w:t xml:space="preserve">Existing trials of physical rehabilitation in critical illness </w:t>
      </w:r>
      <w:proofErr w:type="gramStart"/>
      <w:r>
        <w:t>are challenged</w:t>
      </w:r>
      <w:proofErr w:type="gramEnd"/>
      <w:r>
        <w:t xml:space="preserve"> by heterogeneity in selection and definition of outcomes, and their metrics, used for evaluation.</w:t>
      </w:r>
      <w:r w:rsidR="00804FDC">
        <w:t xml:space="preserve">  This can preclude meta-analysis of data, limiting the cumulative value of individual trials for informing evidence-based clinical decision-making.  A core outcome set (COS) of agreed, standardised outcomes to be used across all future trials may facilitate outcome transparency and consistence.  The aim of this study is to develop a COS for trials of physical rehabilitation interventions delivered across the continuum of recovery from within the ICU to hospital discharge to the community (PRACTICE). </w:t>
      </w:r>
    </w:p>
    <w:p w14:paraId="643C1321" w14:textId="77777777" w:rsidR="00042329" w:rsidRPr="00042329" w:rsidRDefault="00042329" w:rsidP="00804FDC">
      <w:pPr>
        <w:spacing w:after="0" w:line="360" w:lineRule="auto"/>
        <w:jc w:val="both"/>
        <w:rPr>
          <w:b/>
        </w:rPr>
      </w:pPr>
      <w:r w:rsidRPr="00042329">
        <w:rPr>
          <w:b/>
        </w:rPr>
        <w:t>Methods</w:t>
      </w:r>
    </w:p>
    <w:p w14:paraId="6FB6B9CB" w14:textId="36B457E3" w:rsidR="00042329" w:rsidRDefault="00804FDC" w:rsidP="00804FDC">
      <w:pPr>
        <w:spacing w:after="0" w:line="360" w:lineRule="auto"/>
        <w:jc w:val="both"/>
      </w:pPr>
      <w:r>
        <w:t xml:space="preserve">A two–stage, mixed methods, consensus-based study, integrating </w:t>
      </w:r>
      <w:r w:rsidR="00164651">
        <w:t xml:space="preserve">background </w:t>
      </w:r>
      <w:r>
        <w:t xml:space="preserve">systematic reviews of quantitative and qualitative literature, qualitative interviews with patients and caregivers, and a Delphi consensus process to determine </w:t>
      </w:r>
      <w:proofErr w:type="spellStart"/>
      <w:r>
        <w:t>i</w:t>
      </w:r>
      <w:proofErr w:type="spellEnd"/>
      <w:r>
        <w:t>) ‘what’ outcomes to include in the PRACTICE COS</w:t>
      </w:r>
      <w:r w:rsidR="0053319C">
        <w:t xml:space="preserve"> (Stage 1)</w:t>
      </w:r>
      <w:r>
        <w:t>, and ii) ‘how’ these outcomes</w:t>
      </w:r>
      <w:r w:rsidR="00AF4F29">
        <w:t xml:space="preserve"> should be measured</w:t>
      </w:r>
      <w:r w:rsidR="0053319C">
        <w:t xml:space="preserve"> (Stage 2)</w:t>
      </w:r>
      <w:r w:rsidR="00AF4F29">
        <w:t xml:space="preserve">.  Delphi participants comprised researcher, clinician, and patient/caregiver stakeholder groups, who were required to rate importance of outcomes for inclusion in the COS on a Likert scale (1-3, not important; 4-6, important but not critical; 7-9, critical).  </w:t>
      </w:r>
      <w:r w:rsidR="00AF4F29" w:rsidRPr="00B44FAE">
        <w:rPr>
          <w:color w:val="000000"/>
          <w:lang w:eastAsia="en-GB"/>
        </w:rPr>
        <w:t>Consensus for inclusion</w:t>
      </w:r>
      <w:r w:rsidR="00AF4F29">
        <w:rPr>
          <w:color w:val="000000"/>
          <w:lang w:eastAsia="en-GB"/>
        </w:rPr>
        <w:t xml:space="preserve"> of an outcome</w:t>
      </w:r>
      <w:r w:rsidR="00AF4F29" w:rsidRPr="00B44FAE">
        <w:rPr>
          <w:color w:val="000000"/>
          <w:lang w:eastAsia="en-GB"/>
        </w:rPr>
        <w:t xml:space="preserve"> by a particular stakeholder group w</w:t>
      </w:r>
      <w:r w:rsidR="00AF4F29">
        <w:rPr>
          <w:color w:val="000000"/>
          <w:lang w:eastAsia="en-GB"/>
        </w:rPr>
        <w:t>as</w:t>
      </w:r>
      <w:r w:rsidR="00AF4F29" w:rsidRPr="00B44FAE">
        <w:rPr>
          <w:color w:val="000000"/>
          <w:lang w:eastAsia="en-GB"/>
        </w:rPr>
        <w:t xml:space="preserve"> defined as ≥</w:t>
      </w:r>
      <w:proofErr w:type="gramStart"/>
      <w:r w:rsidR="00AF4F29" w:rsidRPr="00B44FAE">
        <w:rPr>
          <w:color w:val="000000"/>
          <w:lang w:eastAsia="en-GB"/>
        </w:rPr>
        <w:t>70%</w:t>
      </w:r>
      <w:proofErr w:type="gramEnd"/>
      <w:r w:rsidR="00AF4F29" w:rsidRPr="00B44FAE">
        <w:rPr>
          <w:color w:val="000000"/>
          <w:lang w:eastAsia="en-GB"/>
        </w:rPr>
        <w:t xml:space="preserve"> of responses rating the outcome as ‘critical’, and less than or equal to 15% of responses rating the outcome ≤3</w:t>
      </w:r>
      <w:r w:rsidR="00AF4F29">
        <w:rPr>
          <w:color w:val="000000"/>
          <w:lang w:eastAsia="en-GB"/>
        </w:rPr>
        <w:t xml:space="preserve">.  Core outcomes were those agreed on by all </w:t>
      </w:r>
      <w:proofErr w:type="gramStart"/>
      <w:r w:rsidR="00AF4F29">
        <w:rPr>
          <w:color w:val="000000"/>
          <w:lang w:eastAsia="en-GB"/>
        </w:rPr>
        <w:t>three stakeholder</w:t>
      </w:r>
      <w:proofErr w:type="gramEnd"/>
      <w:r w:rsidR="00AF4F29">
        <w:rPr>
          <w:color w:val="000000"/>
          <w:lang w:eastAsia="en-GB"/>
        </w:rPr>
        <w:t xml:space="preserve"> groups.</w:t>
      </w:r>
    </w:p>
    <w:p w14:paraId="500294A9" w14:textId="77777777" w:rsidR="00042329" w:rsidRPr="00042329" w:rsidRDefault="00042329" w:rsidP="00804FDC">
      <w:pPr>
        <w:spacing w:after="0" w:line="360" w:lineRule="auto"/>
        <w:jc w:val="both"/>
        <w:rPr>
          <w:b/>
        </w:rPr>
      </w:pPr>
      <w:r w:rsidRPr="00042329">
        <w:rPr>
          <w:b/>
        </w:rPr>
        <w:t>Results</w:t>
      </w:r>
    </w:p>
    <w:p w14:paraId="0E0DF13D" w14:textId="382A574C" w:rsidR="00042329" w:rsidRDefault="0053319C" w:rsidP="00804FDC">
      <w:pPr>
        <w:spacing w:after="0" w:line="360" w:lineRule="auto"/>
        <w:jc w:val="both"/>
      </w:pPr>
      <w:r>
        <w:t>Delphi participants totalled 329 (58 researchers (17.6%), 247 clinicians (75.1%), 24 patients/caregivers (7.3%</w:t>
      </w:r>
      <w:r w:rsidR="00164651">
        <w:t>); 26 countries represented</w:t>
      </w:r>
      <w:r>
        <w:t xml:space="preserve">).  Thirty outcomes were included in the first Delphi survey round, with </w:t>
      </w:r>
      <w:proofErr w:type="gramStart"/>
      <w:r>
        <w:t>4</w:t>
      </w:r>
      <w:proofErr w:type="gramEnd"/>
      <w:r>
        <w:t xml:space="preserve"> outcomes reaching consensus for inclusion in the COS</w:t>
      </w:r>
      <w:r w:rsidR="001B3DA0">
        <w:t xml:space="preserve"> - </w:t>
      </w:r>
      <w:r>
        <w:t xml:space="preserve">activities of daily living, physical </w:t>
      </w:r>
      <w:r>
        <w:lastRenderedPageBreak/>
        <w:t xml:space="preserve">function, health-related quality of life, and survival.  </w:t>
      </w:r>
      <w:r w:rsidR="001B3DA0">
        <w:t xml:space="preserve">Respondents proposed </w:t>
      </w:r>
      <w:proofErr w:type="gramStart"/>
      <w:r w:rsidR="001B3DA0">
        <w:t>2</w:t>
      </w:r>
      <w:proofErr w:type="gramEnd"/>
      <w:r w:rsidR="001B3DA0">
        <w:t xml:space="preserve"> additional new outcomes for consideration in the second survey round, following which, </w:t>
      </w:r>
      <w:r w:rsidR="00164651">
        <w:t>4</w:t>
      </w:r>
      <w:r w:rsidR="001B3DA0">
        <w:t xml:space="preserve"> further outcomes were identified for the COS – exercise capacity, cognitive function, emotional and mental wellbeing, and frailty.  Figure 1 highlights the final COS and additional outcomes rated as of critical importance by individual stakeholder groups.</w:t>
      </w:r>
    </w:p>
    <w:p w14:paraId="47EC5C78" w14:textId="77777777" w:rsidR="00042329" w:rsidRPr="00042329" w:rsidRDefault="00042329" w:rsidP="00804FDC">
      <w:pPr>
        <w:spacing w:after="0" w:line="360" w:lineRule="auto"/>
        <w:jc w:val="both"/>
        <w:rPr>
          <w:b/>
        </w:rPr>
      </w:pPr>
      <w:r w:rsidRPr="00042329">
        <w:rPr>
          <w:b/>
        </w:rPr>
        <w:t>Conclusion</w:t>
      </w:r>
    </w:p>
    <w:p w14:paraId="51A440FC" w14:textId="46FBB260" w:rsidR="00042329" w:rsidRDefault="00164651" w:rsidP="00804FDC">
      <w:pPr>
        <w:spacing w:after="0" w:line="360" w:lineRule="auto"/>
        <w:jc w:val="both"/>
      </w:pPr>
      <w:r>
        <w:t xml:space="preserve">Results of Stage 1 of this large, international, methodologically rigorous core outcome set development study, have </w:t>
      </w:r>
      <w:r w:rsidR="001B3DA0">
        <w:t>determine</w:t>
      </w:r>
      <w:r>
        <w:t>d</w:t>
      </w:r>
      <w:r w:rsidR="001B3DA0">
        <w:t xml:space="preserve"> w</w:t>
      </w:r>
      <w:r>
        <w:t xml:space="preserve">hat outcomes </w:t>
      </w:r>
      <w:proofErr w:type="gramStart"/>
      <w:r>
        <w:t>should be adopted</w:t>
      </w:r>
      <w:proofErr w:type="gramEnd"/>
      <w:r>
        <w:t xml:space="preserve"> </w:t>
      </w:r>
      <w:r w:rsidR="001B3DA0">
        <w:t>for trials of physical rehabilitation in critical illness.  Stage 2</w:t>
      </w:r>
      <w:r>
        <w:t>,</w:t>
      </w:r>
      <w:r w:rsidR="001B3DA0">
        <w:t xml:space="preserve"> to prioritise outcome measurement instruments or definitions</w:t>
      </w:r>
      <w:r>
        <w:t>,</w:t>
      </w:r>
      <w:r w:rsidR="001B3DA0">
        <w:t xml:space="preserve"> is currently underway.  </w:t>
      </w:r>
    </w:p>
    <w:p w14:paraId="255DD1C6" w14:textId="77777777" w:rsidR="00042329" w:rsidRDefault="00042329" w:rsidP="00804FDC">
      <w:pPr>
        <w:spacing w:after="0" w:line="360" w:lineRule="auto"/>
        <w:jc w:val="both"/>
      </w:pPr>
    </w:p>
    <w:p w14:paraId="1B4564AF" w14:textId="2B17B76A" w:rsidR="00042329" w:rsidRPr="00042329" w:rsidRDefault="00042329" w:rsidP="00804FDC">
      <w:pPr>
        <w:spacing w:after="0" w:line="360" w:lineRule="auto"/>
        <w:jc w:val="both"/>
        <w:rPr>
          <w:b/>
        </w:rPr>
      </w:pPr>
      <w:r>
        <w:rPr>
          <w:b/>
        </w:rPr>
        <w:t xml:space="preserve">Research </w:t>
      </w:r>
      <w:r w:rsidRPr="00042329">
        <w:rPr>
          <w:b/>
        </w:rPr>
        <w:t>Funding</w:t>
      </w:r>
      <w:r>
        <w:rPr>
          <w:b/>
        </w:rPr>
        <w:t xml:space="preserve"> Source</w:t>
      </w:r>
    </w:p>
    <w:p w14:paraId="3AAA72A8" w14:textId="5AE50818" w:rsidR="008A2874" w:rsidRDefault="00042329" w:rsidP="00804FDC">
      <w:pPr>
        <w:spacing w:after="0" w:line="360" w:lineRule="auto"/>
        <w:jc w:val="both"/>
        <w:rPr>
          <w:rFonts w:cs="AdvTT7b515deb"/>
        </w:rPr>
      </w:pPr>
      <w:proofErr w:type="gramStart"/>
      <w:r w:rsidRPr="003C6789">
        <w:t>BC is funded by a National Institute</w:t>
      </w:r>
      <w:proofErr w:type="gramEnd"/>
      <w:r w:rsidRPr="003C6789">
        <w:t xml:space="preserve"> for Health Research (NIHR) Postdoctor</w:t>
      </w:r>
      <w:r>
        <w:t>al Fellowship (PDF-2015-08-015)</w:t>
      </w:r>
      <w:r w:rsidRPr="003C6789">
        <w:rPr>
          <w:rFonts w:cs="AdvTT7b515deb"/>
        </w:rPr>
        <w:t xml:space="preserve">.  The views expressed are those of the authors and are not necessarily those of the NHS, the NIHR or the Department of Health.  </w:t>
      </w:r>
    </w:p>
    <w:p w14:paraId="0ED4C439" w14:textId="2CAE7155" w:rsidR="008A2874" w:rsidRDefault="008A2874" w:rsidP="00804FDC">
      <w:pPr>
        <w:spacing w:after="0" w:line="360" w:lineRule="auto"/>
        <w:jc w:val="both"/>
        <w:rPr>
          <w:rFonts w:cs="AdvTT7b515deb"/>
        </w:rPr>
      </w:pPr>
    </w:p>
    <w:p w14:paraId="035C571C" w14:textId="3B3E866C" w:rsidR="00042329" w:rsidRPr="008A2874" w:rsidRDefault="008A2874" w:rsidP="00804FDC">
      <w:pPr>
        <w:spacing w:after="0" w:line="360" w:lineRule="auto"/>
        <w:jc w:val="both"/>
        <w:rPr>
          <w:rFonts w:cs="AdvTT7b515deb"/>
        </w:rPr>
      </w:pPr>
      <w:r w:rsidRPr="008A2874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96BC2F" wp14:editId="223A68E6">
            <wp:simplePos x="0" y="0"/>
            <wp:positionH relativeFrom="margin">
              <wp:posOffset>47625</wp:posOffset>
            </wp:positionH>
            <wp:positionV relativeFrom="paragraph">
              <wp:posOffset>340995</wp:posOffset>
            </wp:positionV>
            <wp:extent cx="5617210" cy="465836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465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874">
        <w:rPr>
          <w:rFonts w:cs="AdvTT7b515deb"/>
          <w:b/>
        </w:rPr>
        <w:t>Figure 1.</w:t>
      </w:r>
      <w:r>
        <w:rPr>
          <w:rFonts w:cs="AdvTT7b515deb"/>
        </w:rPr>
        <w:t xml:space="preserve"> Core outcomes for inclusion in the PRACTICE core outcome set</w:t>
      </w:r>
    </w:p>
    <w:sectPr w:rsidR="00042329" w:rsidRPr="008A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7b515de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33"/>
    <w:rsid w:val="00042329"/>
    <w:rsid w:val="00071C05"/>
    <w:rsid w:val="00164651"/>
    <w:rsid w:val="001B3DA0"/>
    <w:rsid w:val="0021587B"/>
    <w:rsid w:val="0053319C"/>
    <w:rsid w:val="00776645"/>
    <w:rsid w:val="00804FDC"/>
    <w:rsid w:val="008A2874"/>
    <w:rsid w:val="00A445DA"/>
    <w:rsid w:val="00AD6331"/>
    <w:rsid w:val="00AE4DF4"/>
    <w:rsid w:val="00AF4F29"/>
    <w:rsid w:val="00BC7E33"/>
    <w:rsid w:val="00BD3D0F"/>
    <w:rsid w:val="00C05627"/>
    <w:rsid w:val="00EC350E"/>
    <w:rsid w:val="00F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657E"/>
  <w15:chartTrackingRefBased/>
  <w15:docId w15:val="{4E27C4A2-FFFD-438B-BBFC-FA94ADD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AC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Bronwen</dc:creator>
  <cp:keywords/>
  <dc:description/>
  <cp:lastModifiedBy>Eve Corner (Staff)</cp:lastModifiedBy>
  <cp:revision>2</cp:revision>
  <dcterms:created xsi:type="dcterms:W3CDTF">2019-05-24T06:55:00Z</dcterms:created>
  <dcterms:modified xsi:type="dcterms:W3CDTF">2019-05-24T06:55:00Z</dcterms:modified>
</cp:coreProperties>
</file>