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016B3" w14:textId="7647275B" w:rsidR="002F2EC4" w:rsidRPr="00DC41C4" w:rsidRDefault="0083323C" w:rsidP="00DC41C4">
      <w:pPr>
        <w:pBdr>
          <w:bottom w:val="single" w:sz="4" w:space="1" w:color="auto"/>
        </w:pBdr>
        <w:jc w:val="center"/>
        <w:rPr>
          <w:i/>
          <w:sz w:val="32"/>
          <w:szCs w:val="32"/>
        </w:rPr>
      </w:pPr>
      <w:r w:rsidRPr="00DC41C4">
        <w:rPr>
          <w:i/>
          <w:sz w:val="32"/>
          <w:szCs w:val="32"/>
        </w:rPr>
        <w:t>International Journal of Accounting &amp; Information Management</w:t>
      </w:r>
    </w:p>
    <w:p w14:paraId="43F4CB69" w14:textId="77777777" w:rsidR="0083323C" w:rsidRDefault="0083323C" w:rsidP="0083323C">
      <w:pPr>
        <w:pBdr>
          <w:bottom w:val="single" w:sz="4" w:space="1" w:color="auto"/>
        </w:pBdr>
        <w:jc w:val="center"/>
        <w:rPr>
          <w:i/>
          <w:sz w:val="32"/>
          <w:szCs w:val="32"/>
        </w:rPr>
      </w:pPr>
    </w:p>
    <w:p w14:paraId="212C5822" w14:textId="29EF0EA8" w:rsidR="0083323C" w:rsidRPr="0083323C" w:rsidRDefault="00491273" w:rsidP="0083323C">
      <w:pPr>
        <w:pBdr>
          <w:bottom w:val="single" w:sz="4" w:space="1" w:color="auto"/>
        </w:pBdr>
        <w:jc w:val="center"/>
      </w:pPr>
      <w:r>
        <w:t>Volume 26, Issue 3, 2018</w:t>
      </w:r>
      <w:r w:rsidR="0083323C" w:rsidRPr="009B2029">
        <w:t>,</w:t>
      </w:r>
      <w:r w:rsidR="0083323C" w:rsidRPr="009B2029">
        <w:rPr>
          <w:color w:val="212121"/>
          <w:shd w:val="clear" w:color="auto" w:fill="FFFFFF"/>
        </w:rPr>
        <w:t xml:space="preserve"> ISSN</w:t>
      </w:r>
      <w:r w:rsidR="0083323C">
        <w:rPr>
          <w:color w:val="212121"/>
          <w:shd w:val="clear" w:color="auto" w:fill="FFFFFF"/>
        </w:rPr>
        <w:t>:</w:t>
      </w:r>
      <w:r w:rsidR="0083323C" w:rsidRPr="009B2029">
        <w:rPr>
          <w:color w:val="212121"/>
          <w:shd w:val="clear" w:color="auto" w:fill="FFFFFF"/>
        </w:rPr>
        <w:t>1834-7649</w:t>
      </w:r>
      <w:r w:rsidR="0083323C">
        <w:t xml:space="preserve">, </w:t>
      </w:r>
      <w:r w:rsidR="0083323C" w:rsidRPr="00AB0ABE">
        <w:t>Emerald publication.</w:t>
      </w:r>
    </w:p>
    <w:p w14:paraId="67DA2637" w14:textId="77777777" w:rsidR="002F2EC4" w:rsidRPr="00175F05" w:rsidRDefault="002F2EC4" w:rsidP="002F2EC4">
      <w:pPr>
        <w:jc w:val="center"/>
        <w:rPr>
          <w:iCs/>
        </w:rPr>
      </w:pPr>
    </w:p>
    <w:p w14:paraId="36F8F8B4" w14:textId="77777777" w:rsidR="002F2EC4" w:rsidRPr="00175F05" w:rsidRDefault="002F2EC4" w:rsidP="002F2EC4">
      <w:pPr>
        <w:jc w:val="center"/>
        <w:rPr>
          <w:iCs/>
        </w:rPr>
      </w:pPr>
    </w:p>
    <w:p w14:paraId="0869DA60" w14:textId="77777777" w:rsidR="002F2EC4" w:rsidRPr="00175F05" w:rsidRDefault="002F2EC4" w:rsidP="002F2EC4">
      <w:pPr>
        <w:jc w:val="center"/>
        <w:rPr>
          <w:iCs/>
        </w:rPr>
      </w:pPr>
    </w:p>
    <w:p w14:paraId="5FEB4534" w14:textId="77777777" w:rsidR="002F2EC4" w:rsidRDefault="002F2EC4" w:rsidP="002F2EC4">
      <w:pPr>
        <w:jc w:val="center"/>
        <w:rPr>
          <w:iCs/>
        </w:rPr>
      </w:pPr>
    </w:p>
    <w:p w14:paraId="65838B47" w14:textId="77777777" w:rsidR="0095769B" w:rsidRPr="00175F05" w:rsidRDefault="0095769B" w:rsidP="002F2EC4">
      <w:pPr>
        <w:jc w:val="center"/>
        <w:rPr>
          <w:iCs/>
        </w:rPr>
      </w:pPr>
    </w:p>
    <w:p w14:paraId="5FCABBCC" w14:textId="77777777" w:rsidR="002F2EC4" w:rsidRPr="00175F05" w:rsidRDefault="002F2EC4" w:rsidP="002F2EC4">
      <w:pPr>
        <w:jc w:val="center"/>
        <w:rPr>
          <w:iCs/>
        </w:rPr>
      </w:pPr>
    </w:p>
    <w:p w14:paraId="7F936E20" w14:textId="77777777" w:rsidR="002F2EC4" w:rsidRPr="00175F05" w:rsidRDefault="002F2EC4" w:rsidP="002F2EC4">
      <w:pPr>
        <w:jc w:val="center"/>
        <w:rPr>
          <w:b/>
          <w:sz w:val="36"/>
          <w:szCs w:val="36"/>
        </w:rPr>
      </w:pPr>
      <w:r w:rsidRPr="00175F05">
        <w:rPr>
          <w:b/>
          <w:color w:val="212121"/>
          <w:sz w:val="36"/>
          <w:szCs w:val="36"/>
          <w:shd w:val="clear" w:color="auto" w:fill="FFFFFF"/>
        </w:rPr>
        <w:t>Audit Committee Adoption and Firm Value: Evidence from UK Financial Institutions</w:t>
      </w:r>
    </w:p>
    <w:p w14:paraId="55F4CCD7" w14:textId="77777777" w:rsidR="002F2EC4" w:rsidRPr="00175F05" w:rsidRDefault="002F2EC4" w:rsidP="002F2EC4">
      <w:pPr>
        <w:jc w:val="center"/>
        <w:rPr>
          <w:b/>
          <w:iCs/>
          <w:sz w:val="36"/>
          <w:szCs w:val="36"/>
        </w:rPr>
      </w:pPr>
    </w:p>
    <w:p w14:paraId="2B6340D4" w14:textId="77777777" w:rsidR="002F2EC4" w:rsidRPr="00175F05" w:rsidRDefault="002F2EC4" w:rsidP="002F2EC4">
      <w:pPr>
        <w:jc w:val="center"/>
        <w:rPr>
          <w:iCs/>
        </w:rPr>
      </w:pPr>
    </w:p>
    <w:p w14:paraId="19BACE00" w14:textId="77777777" w:rsidR="002F2EC4" w:rsidRPr="00175F05" w:rsidRDefault="002F2EC4" w:rsidP="002F2EC4">
      <w:pPr>
        <w:jc w:val="center"/>
        <w:rPr>
          <w:iCs/>
        </w:rPr>
      </w:pPr>
    </w:p>
    <w:p w14:paraId="7F25E987" w14:textId="67D1785A" w:rsidR="00B174A5" w:rsidRPr="004348D9" w:rsidRDefault="00B174A5" w:rsidP="00B174A5">
      <w:pPr>
        <w:pStyle w:val="Default"/>
        <w:spacing w:line="360" w:lineRule="auto"/>
        <w:jc w:val="center"/>
        <w:rPr>
          <w:rFonts w:eastAsiaTheme="minorHAnsi"/>
          <w:sz w:val="26"/>
          <w:szCs w:val="26"/>
        </w:rPr>
      </w:pPr>
      <w:r w:rsidRPr="004348D9">
        <w:rPr>
          <w:rFonts w:eastAsiaTheme="minorHAnsi"/>
          <w:sz w:val="26"/>
          <w:szCs w:val="26"/>
        </w:rPr>
        <w:t>A</w:t>
      </w:r>
      <w:r w:rsidR="004E2626" w:rsidRPr="004348D9">
        <w:rPr>
          <w:rFonts w:eastAsiaTheme="minorHAnsi"/>
          <w:sz w:val="26"/>
          <w:szCs w:val="26"/>
        </w:rPr>
        <w:t xml:space="preserve">ccepted for Publication in July </w:t>
      </w:r>
      <w:r w:rsidRPr="004348D9">
        <w:rPr>
          <w:rFonts w:eastAsiaTheme="minorHAnsi"/>
          <w:sz w:val="26"/>
          <w:szCs w:val="26"/>
        </w:rPr>
        <w:t>2017</w:t>
      </w:r>
      <w:r w:rsidR="0050299F" w:rsidRPr="004348D9">
        <w:rPr>
          <w:rFonts w:eastAsiaTheme="minorHAnsi"/>
          <w:sz w:val="26"/>
          <w:szCs w:val="26"/>
        </w:rPr>
        <w:t xml:space="preserve"> </w:t>
      </w:r>
    </w:p>
    <w:p w14:paraId="2097246D" w14:textId="77777777" w:rsidR="002F2EC4" w:rsidRDefault="002F2EC4" w:rsidP="002F2EC4">
      <w:pPr>
        <w:pStyle w:val="Default"/>
        <w:spacing w:line="360" w:lineRule="auto"/>
        <w:rPr>
          <w:rFonts w:eastAsiaTheme="minorHAnsi"/>
          <w:i/>
        </w:rPr>
      </w:pPr>
    </w:p>
    <w:p w14:paraId="29710FB1" w14:textId="77777777" w:rsidR="0050299F" w:rsidRDefault="0050299F" w:rsidP="002F2EC4">
      <w:pPr>
        <w:pStyle w:val="Default"/>
        <w:spacing w:line="360" w:lineRule="auto"/>
        <w:rPr>
          <w:rFonts w:eastAsiaTheme="minorHAnsi"/>
          <w:i/>
        </w:rPr>
      </w:pPr>
    </w:p>
    <w:p w14:paraId="7173AF52" w14:textId="77777777" w:rsidR="0050299F" w:rsidRDefault="0050299F" w:rsidP="002F2EC4">
      <w:pPr>
        <w:pStyle w:val="Default"/>
        <w:spacing w:line="360" w:lineRule="auto"/>
        <w:rPr>
          <w:rFonts w:eastAsiaTheme="minorHAnsi"/>
        </w:rPr>
      </w:pPr>
    </w:p>
    <w:p w14:paraId="615D3041" w14:textId="77777777" w:rsidR="002F2EC4" w:rsidRDefault="002F2EC4" w:rsidP="002F2EC4">
      <w:pPr>
        <w:pStyle w:val="Default"/>
        <w:spacing w:line="360" w:lineRule="auto"/>
        <w:rPr>
          <w:rFonts w:eastAsiaTheme="minorHAnsi"/>
        </w:rPr>
      </w:pPr>
    </w:p>
    <w:p w14:paraId="4F111277" w14:textId="677744D5" w:rsidR="002F2EC4" w:rsidRPr="004348D9" w:rsidRDefault="002F2EC4" w:rsidP="004348D9">
      <w:pPr>
        <w:pStyle w:val="Default"/>
        <w:spacing w:line="360" w:lineRule="auto"/>
        <w:jc w:val="center"/>
        <w:rPr>
          <w:sz w:val="28"/>
          <w:szCs w:val="28"/>
        </w:rPr>
      </w:pPr>
      <w:r w:rsidRPr="004348D9">
        <w:rPr>
          <w:rStyle w:val="FootnoteReference"/>
          <w:rFonts w:eastAsiaTheme="minorHAnsi"/>
          <w:sz w:val="28"/>
          <w:szCs w:val="28"/>
        </w:rPr>
        <w:footnoteReference w:id="1"/>
      </w:r>
      <w:r w:rsidRPr="004348D9">
        <w:rPr>
          <w:rFonts w:eastAsiaTheme="minorHAnsi"/>
          <w:sz w:val="28"/>
          <w:szCs w:val="28"/>
        </w:rPr>
        <w:t xml:space="preserve">Peter Agyemang-Mintah     </w:t>
      </w:r>
      <w:r w:rsidRPr="004348D9">
        <w:rPr>
          <w:rStyle w:val="FootnoteReference"/>
          <w:rFonts w:eastAsiaTheme="minorHAnsi"/>
          <w:sz w:val="28"/>
          <w:szCs w:val="28"/>
        </w:rPr>
        <w:footnoteReference w:id="2"/>
      </w:r>
      <w:proofErr w:type="spellStart"/>
      <w:r w:rsidRPr="004348D9">
        <w:rPr>
          <w:sz w:val="28"/>
          <w:szCs w:val="28"/>
        </w:rPr>
        <w:t>Hannu</w:t>
      </w:r>
      <w:proofErr w:type="spellEnd"/>
      <w:r w:rsidRPr="004348D9">
        <w:rPr>
          <w:sz w:val="28"/>
          <w:szCs w:val="28"/>
        </w:rPr>
        <w:t xml:space="preserve"> </w:t>
      </w:r>
      <w:proofErr w:type="spellStart"/>
      <w:r w:rsidRPr="004348D9">
        <w:rPr>
          <w:sz w:val="28"/>
          <w:szCs w:val="28"/>
        </w:rPr>
        <w:t>Schadewitz</w:t>
      </w:r>
      <w:proofErr w:type="spellEnd"/>
    </w:p>
    <w:p w14:paraId="5CFE4BCD" w14:textId="77777777" w:rsidR="002F2EC4" w:rsidRPr="00175F05" w:rsidRDefault="002F2EC4" w:rsidP="002F2EC4">
      <w:pPr>
        <w:jc w:val="center"/>
        <w:rPr>
          <w:iCs/>
        </w:rPr>
      </w:pPr>
    </w:p>
    <w:p w14:paraId="355B7E5D" w14:textId="77777777" w:rsidR="002F2EC4" w:rsidRDefault="002F2EC4" w:rsidP="002F2EC4">
      <w:pPr>
        <w:rPr>
          <w:b/>
          <w:color w:val="212121"/>
          <w:sz w:val="32"/>
          <w:szCs w:val="32"/>
          <w:shd w:val="clear" w:color="auto" w:fill="FFFFFF"/>
        </w:rPr>
      </w:pPr>
    </w:p>
    <w:p w14:paraId="120B946C" w14:textId="77777777" w:rsidR="002F2EC4" w:rsidRDefault="002F2EC4" w:rsidP="0079376A">
      <w:pPr>
        <w:jc w:val="center"/>
        <w:rPr>
          <w:b/>
          <w:color w:val="212121"/>
          <w:sz w:val="32"/>
          <w:szCs w:val="32"/>
          <w:shd w:val="clear" w:color="auto" w:fill="FFFFFF"/>
        </w:rPr>
      </w:pPr>
    </w:p>
    <w:p w14:paraId="6149B685" w14:textId="77777777" w:rsidR="002F2EC4" w:rsidRDefault="002F2EC4" w:rsidP="0079376A">
      <w:pPr>
        <w:jc w:val="center"/>
        <w:rPr>
          <w:b/>
          <w:color w:val="212121"/>
          <w:sz w:val="32"/>
          <w:szCs w:val="32"/>
          <w:shd w:val="clear" w:color="auto" w:fill="FFFFFF"/>
        </w:rPr>
      </w:pPr>
    </w:p>
    <w:p w14:paraId="3EF07E05" w14:textId="0D59A52A" w:rsidR="0079376A" w:rsidRDefault="00F76FDA" w:rsidP="002F2EC4">
      <w:pPr>
        <w:jc w:val="center"/>
        <w:rPr>
          <w:b/>
          <w:color w:val="212121"/>
          <w:sz w:val="32"/>
          <w:szCs w:val="32"/>
          <w:shd w:val="clear" w:color="auto" w:fill="FFFFFF"/>
        </w:rPr>
      </w:pPr>
      <w:r>
        <w:rPr>
          <w:b/>
          <w:color w:val="212121"/>
          <w:sz w:val="32"/>
          <w:szCs w:val="32"/>
          <w:shd w:val="clear" w:color="auto" w:fill="FFFFFF"/>
        </w:rPr>
        <w:t xml:space="preserve"> </w:t>
      </w:r>
    </w:p>
    <w:p w14:paraId="4321F6ED" w14:textId="77777777" w:rsidR="002F2EC4" w:rsidRDefault="002F2EC4" w:rsidP="002F2EC4">
      <w:pPr>
        <w:jc w:val="center"/>
        <w:rPr>
          <w:b/>
          <w:color w:val="212121"/>
          <w:sz w:val="32"/>
          <w:szCs w:val="32"/>
          <w:shd w:val="clear" w:color="auto" w:fill="FFFFFF"/>
        </w:rPr>
      </w:pPr>
    </w:p>
    <w:p w14:paraId="090AC48F" w14:textId="77777777" w:rsidR="002F2EC4" w:rsidRDefault="002F2EC4" w:rsidP="002F2EC4">
      <w:pPr>
        <w:jc w:val="center"/>
        <w:rPr>
          <w:b/>
          <w:color w:val="212121"/>
          <w:sz w:val="32"/>
          <w:szCs w:val="32"/>
          <w:shd w:val="clear" w:color="auto" w:fill="FFFFFF"/>
        </w:rPr>
      </w:pPr>
    </w:p>
    <w:p w14:paraId="7D2348FC" w14:textId="77777777" w:rsidR="002F2EC4" w:rsidRDefault="002F2EC4" w:rsidP="002F2EC4">
      <w:pPr>
        <w:jc w:val="center"/>
        <w:rPr>
          <w:b/>
          <w:color w:val="212121"/>
          <w:sz w:val="32"/>
          <w:szCs w:val="32"/>
          <w:shd w:val="clear" w:color="auto" w:fill="FFFFFF"/>
        </w:rPr>
      </w:pPr>
    </w:p>
    <w:p w14:paraId="4DB3DDBD" w14:textId="77777777" w:rsidR="002F2EC4" w:rsidRDefault="002F2EC4" w:rsidP="002F2EC4">
      <w:pPr>
        <w:jc w:val="center"/>
        <w:rPr>
          <w:b/>
          <w:color w:val="212121"/>
          <w:sz w:val="32"/>
          <w:szCs w:val="32"/>
          <w:shd w:val="clear" w:color="auto" w:fill="FFFFFF"/>
        </w:rPr>
      </w:pPr>
    </w:p>
    <w:p w14:paraId="084E6E9C" w14:textId="77777777" w:rsidR="002F2EC4" w:rsidRDefault="002F2EC4" w:rsidP="002F2EC4">
      <w:pPr>
        <w:jc w:val="center"/>
        <w:rPr>
          <w:b/>
          <w:color w:val="212121"/>
          <w:sz w:val="32"/>
          <w:szCs w:val="32"/>
          <w:shd w:val="clear" w:color="auto" w:fill="FFFFFF"/>
        </w:rPr>
      </w:pPr>
    </w:p>
    <w:p w14:paraId="43F60D12" w14:textId="77777777" w:rsidR="002F2EC4" w:rsidRDefault="002F2EC4" w:rsidP="002F2EC4">
      <w:pPr>
        <w:jc w:val="center"/>
        <w:rPr>
          <w:b/>
          <w:color w:val="212121"/>
          <w:sz w:val="32"/>
          <w:szCs w:val="32"/>
          <w:shd w:val="clear" w:color="auto" w:fill="FFFFFF"/>
        </w:rPr>
      </w:pPr>
    </w:p>
    <w:p w14:paraId="5160406F" w14:textId="77777777" w:rsidR="002F2EC4" w:rsidRDefault="002F2EC4" w:rsidP="002F2EC4">
      <w:pPr>
        <w:jc w:val="center"/>
        <w:rPr>
          <w:b/>
          <w:color w:val="212121"/>
          <w:sz w:val="32"/>
          <w:szCs w:val="32"/>
          <w:shd w:val="clear" w:color="auto" w:fill="FFFFFF"/>
        </w:rPr>
      </w:pPr>
    </w:p>
    <w:p w14:paraId="6CA9B5AF" w14:textId="77777777" w:rsidR="0054344B" w:rsidRDefault="0054344B" w:rsidP="0079376A">
      <w:pPr>
        <w:spacing w:line="360" w:lineRule="auto"/>
        <w:jc w:val="both"/>
        <w:rPr>
          <w:b/>
          <w:color w:val="212121"/>
          <w:sz w:val="32"/>
          <w:szCs w:val="32"/>
          <w:shd w:val="clear" w:color="auto" w:fill="FFFFFF"/>
        </w:rPr>
      </w:pPr>
    </w:p>
    <w:p w14:paraId="2B1F5B9C" w14:textId="77777777" w:rsidR="0079376A" w:rsidRPr="0054344B" w:rsidRDefault="0079376A" w:rsidP="004348D9">
      <w:pPr>
        <w:pStyle w:val="Heading1"/>
        <w:numPr>
          <w:ilvl w:val="0"/>
          <w:numId w:val="0"/>
        </w:numPr>
      </w:pPr>
      <w:r w:rsidRPr="0054344B">
        <w:lastRenderedPageBreak/>
        <w:t>Abstract</w:t>
      </w:r>
    </w:p>
    <w:p w14:paraId="506249A1" w14:textId="3036B646" w:rsidR="003C23CC" w:rsidRPr="000142EF" w:rsidRDefault="0079376A" w:rsidP="00BF0E75">
      <w:pPr>
        <w:pStyle w:val="PSLeipis"/>
        <w:rPr>
          <w:rFonts w:eastAsia="MS Mincho"/>
        </w:rPr>
      </w:pPr>
      <w:r w:rsidRPr="0054344B">
        <w:rPr>
          <w:b/>
        </w:rPr>
        <w:t xml:space="preserve">Purpose: </w:t>
      </w:r>
      <w:r w:rsidR="00DC1C86" w:rsidRPr="0054344B">
        <w:rPr>
          <w:rFonts w:eastAsia="MS Mincho"/>
        </w:rPr>
        <w:t xml:space="preserve">This study </w:t>
      </w:r>
      <w:r w:rsidR="007E1FB5" w:rsidRPr="0054344B">
        <w:rPr>
          <w:rFonts w:eastAsia="MS Mincho"/>
        </w:rPr>
        <w:t xml:space="preserve">examines </w:t>
      </w:r>
      <w:r w:rsidR="00DC1C86" w:rsidRPr="0054344B">
        <w:rPr>
          <w:rFonts w:eastAsia="MS Mincho"/>
        </w:rPr>
        <w:t xml:space="preserve">the impact of audit committee (AC) adoption on the financial value of financial institutions </w:t>
      </w:r>
      <w:r w:rsidR="008A3580" w:rsidRPr="0054344B">
        <w:rPr>
          <w:rFonts w:eastAsia="MS Mincho"/>
        </w:rPr>
        <w:t xml:space="preserve">in the UK </w:t>
      </w:r>
      <w:r w:rsidR="00DC1C86" w:rsidRPr="0054344B">
        <w:rPr>
          <w:rFonts w:eastAsia="MS Mincho"/>
        </w:rPr>
        <w:t>and also examine</w:t>
      </w:r>
      <w:r w:rsidR="008A3580" w:rsidRPr="0054344B">
        <w:rPr>
          <w:rFonts w:eastAsia="MS Mincho"/>
        </w:rPr>
        <w:t>s</w:t>
      </w:r>
      <w:r w:rsidR="00DC1C86" w:rsidRPr="0054344B">
        <w:rPr>
          <w:rFonts w:eastAsia="MS Mincho"/>
        </w:rPr>
        <w:t xml:space="preserve"> the impact of the establishment of </w:t>
      </w:r>
      <w:r w:rsidR="00F45355" w:rsidRPr="0054344B">
        <w:rPr>
          <w:rFonts w:eastAsia="MS Mincho"/>
        </w:rPr>
        <w:t xml:space="preserve">an </w:t>
      </w:r>
      <w:r w:rsidR="00DC1C86" w:rsidRPr="0054344B">
        <w:rPr>
          <w:rFonts w:eastAsia="MS Mincho"/>
        </w:rPr>
        <w:t>audit committee on firm value during the pre/post global financial crisis era.</w:t>
      </w:r>
    </w:p>
    <w:p w14:paraId="65AF8C4A" w14:textId="3DFB6F46" w:rsidR="003C23CC" w:rsidRPr="0054344B" w:rsidRDefault="0079376A" w:rsidP="00BF0E75">
      <w:pPr>
        <w:pStyle w:val="PSLeipis"/>
      </w:pPr>
      <w:r w:rsidRPr="0054344B">
        <w:rPr>
          <w:b/>
        </w:rPr>
        <w:t>Design/methodology/approach:</w:t>
      </w:r>
      <w:r w:rsidRPr="0054344B">
        <w:t xml:space="preserve"> The paper embarks on a theoretical and empirical literature review on audit committee</w:t>
      </w:r>
      <w:r w:rsidR="00BF14DF" w:rsidRPr="0054344B">
        <w:t xml:space="preserve"> (AC)</w:t>
      </w:r>
      <w:r w:rsidRPr="0054344B">
        <w:t xml:space="preserve"> adoption and its impact on </w:t>
      </w:r>
      <w:r w:rsidR="00BF14DF" w:rsidRPr="0054344B">
        <w:t xml:space="preserve">the firm’s financial </w:t>
      </w:r>
      <w:r w:rsidRPr="0054344B">
        <w:t xml:space="preserve">value. The paper uses data from 63 financial institutions </w:t>
      </w:r>
      <w:r w:rsidR="008A3580" w:rsidRPr="0054344B">
        <w:t xml:space="preserve">and </w:t>
      </w:r>
      <w:r w:rsidRPr="0054344B">
        <w:t>cover</w:t>
      </w:r>
      <w:r w:rsidR="008A3580" w:rsidRPr="0054344B">
        <w:t>s</w:t>
      </w:r>
      <w:r w:rsidRPr="0054344B">
        <w:t xml:space="preserve"> a 12-year period. </w:t>
      </w:r>
    </w:p>
    <w:p w14:paraId="1AA5D4D1" w14:textId="71E8B415" w:rsidR="003C23CC" w:rsidRPr="0054344B" w:rsidRDefault="0079376A" w:rsidP="00BF0E75">
      <w:pPr>
        <w:pStyle w:val="PSLeipis"/>
      </w:pPr>
      <w:r w:rsidRPr="0054344B">
        <w:rPr>
          <w:b/>
        </w:rPr>
        <w:t xml:space="preserve">Findings: </w:t>
      </w:r>
      <w:r w:rsidRPr="0054344B">
        <w:t xml:space="preserve">The empirical results indicate that </w:t>
      </w:r>
      <w:r w:rsidR="00857EC1" w:rsidRPr="0054344B">
        <w:t xml:space="preserve">the adoption of an </w:t>
      </w:r>
      <w:r w:rsidRPr="0054344B">
        <w:t xml:space="preserve">AC </w:t>
      </w:r>
      <w:r w:rsidR="008A3580" w:rsidRPr="0054344B">
        <w:t xml:space="preserve">by </w:t>
      </w:r>
      <w:r w:rsidRPr="0054344B">
        <w:t>financial institutions has a positive and statist</w:t>
      </w:r>
      <w:r w:rsidR="00BE42E2" w:rsidRPr="0054344B">
        <w:t xml:space="preserve">ically significant impact on </w:t>
      </w:r>
      <w:r w:rsidR="00EC3E33" w:rsidRPr="0054344B">
        <w:t>firm value.</w:t>
      </w:r>
      <w:r w:rsidRPr="0054344B">
        <w:t xml:space="preserve">  The results </w:t>
      </w:r>
      <w:r w:rsidR="00857EC1" w:rsidRPr="0054344B">
        <w:t>from</w:t>
      </w:r>
      <w:r w:rsidRPr="0054344B">
        <w:t xml:space="preserve"> the pre-crisis period al</w:t>
      </w:r>
      <w:r w:rsidR="008626AD" w:rsidRPr="0054344B">
        <w:t xml:space="preserve">so indicate </w:t>
      </w:r>
      <w:r w:rsidR="00857EC1" w:rsidRPr="0054344B">
        <w:t xml:space="preserve">the adoption of an </w:t>
      </w:r>
      <w:r w:rsidR="008626AD" w:rsidRPr="0054344B">
        <w:t xml:space="preserve">AC </w:t>
      </w:r>
      <w:r w:rsidR="00242E6A" w:rsidRPr="0054344B">
        <w:t xml:space="preserve">makes </w:t>
      </w:r>
      <w:r w:rsidRPr="0054344B">
        <w:t>a positive and signific</w:t>
      </w:r>
      <w:r w:rsidR="00BE42E2" w:rsidRPr="0054344B">
        <w:t xml:space="preserve">ant contribution to </w:t>
      </w:r>
      <w:r w:rsidR="00242E6A" w:rsidRPr="0054344B">
        <w:t>firm value</w:t>
      </w:r>
      <w:r w:rsidRPr="0054344B">
        <w:t xml:space="preserve">. However, </w:t>
      </w:r>
      <w:r w:rsidR="008A3580" w:rsidRPr="0054344B">
        <w:t xml:space="preserve">there is no </w:t>
      </w:r>
      <w:r w:rsidR="008626AD" w:rsidRPr="0054344B">
        <w:t xml:space="preserve">impact on </w:t>
      </w:r>
      <w:r w:rsidR="00A77B25" w:rsidRPr="0054344B">
        <w:t>firm value</w:t>
      </w:r>
      <w:r w:rsidRPr="0054344B">
        <w:t xml:space="preserve"> during the post</w:t>
      </w:r>
      <w:r w:rsidR="008626AD" w:rsidRPr="0054344B">
        <w:t>-</w:t>
      </w:r>
      <w:r w:rsidRPr="0054344B">
        <w:t>crisis period. Our results suggest that</w:t>
      </w:r>
      <w:r w:rsidR="008A3580" w:rsidRPr="0054344B">
        <w:t xml:space="preserve"> </w:t>
      </w:r>
      <w:r w:rsidRPr="0054344B">
        <w:t>the entire UK economy experienc</w:t>
      </w:r>
      <w:r w:rsidR="00F45355" w:rsidRPr="0054344B">
        <w:t>ed</w:t>
      </w:r>
      <w:r w:rsidRPr="0054344B">
        <w:t xml:space="preserve"> an economic downturn </w:t>
      </w:r>
      <w:r w:rsidR="008A3580" w:rsidRPr="0054344B">
        <w:t xml:space="preserve">after the financial crisis (2009-2011) </w:t>
      </w:r>
      <w:r w:rsidRPr="0054344B">
        <w:t>and financial firms were no exception.</w:t>
      </w:r>
    </w:p>
    <w:p w14:paraId="66E218E9" w14:textId="075179CD" w:rsidR="003C23CC" w:rsidRPr="0054344B" w:rsidRDefault="0079376A" w:rsidP="00BF0E75">
      <w:pPr>
        <w:pStyle w:val="PSLeipis"/>
      </w:pPr>
      <w:r w:rsidRPr="0054344B">
        <w:rPr>
          <w:rFonts w:eastAsia="Calibri"/>
          <w:b/>
          <w:lang w:eastAsia="en-US"/>
        </w:rPr>
        <w:t xml:space="preserve">Research limitations/implications: </w:t>
      </w:r>
      <w:r w:rsidRPr="0054344B">
        <w:t xml:space="preserve">Our </w:t>
      </w:r>
      <w:r w:rsidR="008626AD" w:rsidRPr="0054344B">
        <w:t xml:space="preserve">study helps to fill </w:t>
      </w:r>
      <w:r w:rsidR="00C61702" w:rsidRPr="0054344B">
        <w:t>research</w:t>
      </w:r>
      <w:r w:rsidRPr="0054344B">
        <w:t xml:space="preserve"> </w:t>
      </w:r>
      <w:r w:rsidR="008A3580" w:rsidRPr="0054344B">
        <w:t xml:space="preserve">gaps </w:t>
      </w:r>
      <w:r w:rsidR="006C342E" w:rsidRPr="0054344B">
        <w:t>on</w:t>
      </w:r>
      <w:r w:rsidR="00F45355" w:rsidRPr="0054344B">
        <w:t xml:space="preserve"> </w:t>
      </w:r>
      <w:r w:rsidR="008A3580" w:rsidRPr="0054344B">
        <w:t xml:space="preserve">the relationships between </w:t>
      </w:r>
      <w:r w:rsidRPr="0054344B">
        <w:t>AC</w:t>
      </w:r>
      <w:r w:rsidR="008A3580" w:rsidRPr="0054344B">
        <w:t>s</w:t>
      </w:r>
      <w:r w:rsidRPr="0054344B">
        <w:t xml:space="preserve"> and firm value </w:t>
      </w:r>
      <w:r w:rsidR="00F45355" w:rsidRPr="0054344B">
        <w:t xml:space="preserve">as </w:t>
      </w:r>
      <w:r w:rsidR="008A3580" w:rsidRPr="0054344B">
        <w:t xml:space="preserve">they </w:t>
      </w:r>
      <w:r w:rsidRPr="0054344B">
        <w:t>exist in UK</w:t>
      </w:r>
      <w:r w:rsidR="008626AD" w:rsidRPr="0054344B">
        <w:t xml:space="preserve"> financial institutions. The</w:t>
      </w:r>
      <w:r w:rsidRPr="0054344B">
        <w:t>s</w:t>
      </w:r>
      <w:r w:rsidR="008626AD" w:rsidRPr="0054344B">
        <w:t>e</w:t>
      </w:r>
      <w:r w:rsidRPr="0054344B">
        <w:t xml:space="preserve"> finding</w:t>
      </w:r>
      <w:r w:rsidR="008626AD" w:rsidRPr="0054344B">
        <w:t>s are</w:t>
      </w:r>
      <w:r w:rsidRPr="0054344B">
        <w:t xml:space="preserve"> important for policy-makers and regulators.</w:t>
      </w:r>
    </w:p>
    <w:p w14:paraId="0AE28B53" w14:textId="5BBA5DCD" w:rsidR="003C23CC" w:rsidRPr="0054344B" w:rsidRDefault="0079376A" w:rsidP="00BF0E75">
      <w:pPr>
        <w:pStyle w:val="PSLeipis"/>
      </w:pPr>
      <w:r w:rsidRPr="0054344B">
        <w:rPr>
          <w:b/>
        </w:rPr>
        <w:t>Originality/value:</w:t>
      </w:r>
      <w:r w:rsidRPr="0054344B">
        <w:t xml:space="preserve"> To the best of </w:t>
      </w:r>
      <w:r w:rsidR="009D75D4" w:rsidRPr="0054344B">
        <w:t>our</w:t>
      </w:r>
      <w:r w:rsidRPr="0054344B">
        <w:t xml:space="preserve"> k</w:t>
      </w:r>
      <w:r w:rsidR="008626AD" w:rsidRPr="0054344B">
        <w:t>n</w:t>
      </w:r>
      <w:r w:rsidR="00C61702" w:rsidRPr="0054344B">
        <w:t>owledge, this research</w:t>
      </w:r>
      <w:r w:rsidR="00BE42E2" w:rsidRPr="0054344B">
        <w:t xml:space="preserve"> is</w:t>
      </w:r>
      <w:r w:rsidR="00C61702" w:rsidRPr="0054344B">
        <w:t xml:space="preserve"> the first </w:t>
      </w:r>
      <w:r w:rsidR="008626AD" w:rsidRPr="0054344B">
        <w:t xml:space="preserve">to </w:t>
      </w:r>
      <w:r w:rsidR="008A3580" w:rsidRPr="0054344B">
        <w:t xml:space="preserve">conduct an </w:t>
      </w:r>
      <w:r w:rsidR="008626AD" w:rsidRPr="0054344B">
        <w:t>empirical</w:t>
      </w:r>
      <w:r w:rsidR="008A3580" w:rsidRPr="0054344B">
        <w:t xml:space="preserve"> study of</w:t>
      </w:r>
      <w:r w:rsidR="008626AD" w:rsidRPr="0054344B">
        <w:t xml:space="preserve"> the effect</w:t>
      </w:r>
      <w:r w:rsidRPr="0054344B">
        <w:t xml:space="preserve"> of AC adoption on UK financial institutions and f</w:t>
      </w:r>
      <w:r w:rsidR="00BE42E2" w:rsidRPr="0054344B">
        <w:t>irm</w:t>
      </w:r>
      <w:r w:rsidRPr="0054344B">
        <w:t xml:space="preserve"> value. Second, no single study has been conducted on the effects of AC adoption and its impact on either the pre- or t</w:t>
      </w:r>
      <w:r w:rsidR="00BE42E2" w:rsidRPr="0054344B">
        <w:t>he post-financial crisis periods</w:t>
      </w:r>
      <w:r w:rsidRPr="0054344B">
        <w:t>. This is the first paper to provide such empirical evidence.</w:t>
      </w:r>
    </w:p>
    <w:p w14:paraId="7ECFA783" w14:textId="77777777" w:rsidR="00C87AFD" w:rsidRPr="0054344B" w:rsidRDefault="0079376A" w:rsidP="00BF0E75">
      <w:pPr>
        <w:pStyle w:val="PSLeipis"/>
      </w:pPr>
      <w:r w:rsidRPr="0054344B">
        <w:rPr>
          <w:b/>
        </w:rPr>
        <w:t>Keywords:</w:t>
      </w:r>
      <w:r w:rsidRPr="0054344B">
        <w:t xml:space="preserve"> Audit committee adoption, financial institutions, UK, pre</w:t>
      </w:r>
      <w:r w:rsidR="00BB4B2B" w:rsidRPr="0054344B">
        <w:t xml:space="preserve">- and </w:t>
      </w:r>
      <w:r w:rsidRPr="0054344B">
        <w:t>post</w:t>
      </w:r>
      <w:r w:rsidR="00BB4B2B" w:rsidRPr="0054344B">
        <w:t>-</w:t>
      </w:r>
      <w:r w:rsidRPr="0054344B">
        <w:t>financial crisis, firm’s value.</w:t>
      </w:r>
    </w:p>
    <w:p w14:paraId="7F5A3BB4" w14:textId="77777777" w:rsidR="00C87AFD" w:rsidRPr="0054344B" w:rsidRDefault="0079376A" w:rsidP="00BF0E75">
      <w:pPr>
        <w:pStyle w:val="PSLeipis"/>
      </w:pPr>
      <w:r w:rsidRPr="0054344B">
        <w:rPr>
          <w:b/>
        </w:rPr>
        <w:t>Paper type:</w:t>
      </w:r>
      <w:r w:rsidRPr="0054344B">
        <w:t xml:space="preserve"> Empirical research.</w:t>
      </w:r>
    </w:p>
    <w:p w14:paraId="7C101FA6" w14:textId="77777777" w:rsidR="0079376A" w:rsidRPr="004348D9" w:rsidRDefault="0079376A" w:rsidP="004348D9">
      <w:pPr>
        <w:pStyle w:val="Heading1"/>
      </w:pPr>
      <w:r w:rsidRPr="004348D9">
        <w:t>Introduction</w:t>
      </w:r>
    </w:p>
    <w:p w14:paraId="0671D234" w14:textId="77777777" w:rsidR="0079376A" w:rsidRPr="00BF0E75" w:rsidRDefault="0079376A" w:rsidP="00BF0E75">
      <w:pPr>
        <w:pStyle w:val="PSLeipis"/>
      </w:pPr>
      <w:r w:rsidRPr="00BF0E75">
        <w:t xml:space="preserve">Shareholders appoint a board of directors to scrutinise the highest decisions </w:t>
      </w:r>
      <w:r w:rsidR="00F45355" w:rsidRPr="00BF0E75">
        <w:t xml:space="preserve">made </w:t>
      </w:r>
      <w:r w:rsidRPr="00BF0E75">
        <w:t xml:space="preserve">within </w:t>
      </w:r>
      <w:r w:rsidR="00F45355" w:rsidRPr="00BF0E75">
        <w:t xml:space="preserve">a </w:t>
      </w:r>
      <w:r w:rsidRPr="00BF0E75">
        <w:t>firm (</w:t>
      </w:r>
      <w:proofErr w:type="spellStart"/>
      <w:r w:rsidRPr="00BF0E75">
        <w:t>Fama</w:t>
      </w:r>
      <w:proofErr w:type="spellEnd"/>
      <w:r w:rsidRPr="00BF0E75">
        <w:t xml:space="preserve">, 1980; </w:t>
      </w:r>
      <w:proofErr w:type="spellStart"/>
      <w:r w:rsidRPr="00BF0E75">
        <w:t>Vafeas</w:t>
      </w:r>
      <w:proofErr w:type="spellEnd"/>
      <w:r w:rsidRPr="00BF0E75">
        <w:t xml:space="preserve"> and </w:t>
      </w:r>
      <w:proofErr w:type="spellStart"/>
      <w:r w:rsidRPr="00BF0E75">
        <w:t>Theodorou</w:t>
      </w:r>
      <w:proofErr w:type="spellEnd"/>
      <w:r w:rsidRPr="00BF0E75">
        <w:t xml:space="preserve">, 1998). The appointment is required by state or country incorporation laws. </w:t>
      </w:r>
      <w:r w:rsidR="008A3580" w:rsidRPr="00BF0E75">
        <w:t>B</w:t>
      </w:r>
      <w:r w:rsidRPr="00BF0E75">
        <w:t>oard</w:t>
      </w:r>
      <w:r w:rsidR="008A3580" w:rsidRPr="00BF0E75">
        <w:t>s</w:t>
      </w:r>
      <w:r w:rsidRPr="00BF0E75">
        <w:t xml:space="preserve"> also provide solutions to organisational problems, by monitoring and advising executives on important decisions concerning the firm (</w:t>
      </w:r>
      <w:proofErr w:type="spellStart"/>
      <w:r w:rsidRPr="00BF0E75">
        <w:t>Bozec</w:t>
      </w:r>
      <w:proofErr w:type="spellEnd"/>
      <w:r w:rsidRPr="00BF0E75">
        <w:t xml:space="preserve">, 2005; </w:t>
      </w:r>
      <w:proofErr w:type="spellStart"/>
      <w:r w:rsidRPr="00BF0E75">
        <w:t>Baldenius</w:t>
      </w:r>
      <w:proofErr w:type="spellEnd"/>
      <w:r w:rsidRPr="00BF0E75">
        <w:t xml:space="preserve"> et al. 2014). The </w:t>
      </w:r>
      <w:r w:rsidRPr="00BF0E75">
        <w:lastRenderedPageBreak/>
        <w:t>monitoring or advising of the board is intended to protect shareholder interests by providing an objective and independent review of the actions taken b</w:t>
      </w:r>
      <w:r w:rsidR="00ED2971" w:rsidRPr="00BF0E75">
        <w:t xml:space="preserve">y corporate executives </w:t>
      </w:r>
      <w:r w:rsidRPr="00BF0E75">
        <w:t xml:space="preserve">to reduce agency conflicts (Klein, 1998; </w:t>
      </w:r>
      <w:proofErr w:type="spellStart"/>
      <w:r w:rsidRPr="00BF0E75">
        <w:t>Fama</w:t>
      </w:r>
      <w:proofErr w:type="spellEnd"/>
      <w:r w:rsidRPr="00BF0E75">
        <w:t xml:space="preserve"> and Jensen, 1983). The direc</w:t>
      </w:r>
      <w:r w:rsidR="00ED2971" w:rsidRPr="00BF0E75">
        <w:t>tors o</w:t>
      </w:r>
      <w:r w:rsidR="008A3580" w:rsidRPr="00BF0E75">
        <w:t>n</w:t>
      </w:r>
      <w:r w:rsidR="00ED2971" w:rsidRPr="00BF0E75">
        <w:t xml:space="preserve"> the board form </w:t>
      </w:r>
      <w:r w:rsidRPr="00BF0E75">
        <w:t>part of the firm’s internal governance mechanism, which ensures that the interests of shareholders and managers are closely aligned (Kang et al. 2007).</w:t>
      </w:r>
    </w:p>
    <w:p w14:paraId="5799C7D7" w14:textId="77777777" w:rsidR="00751A9B" w:rsidRPr="0054344B" w:rsidRDefault="0079376A" w:rsidP="00BF0E75">
      <w:pPr>
        <w:pStyle w:val="PSLeipis"/>
      </w:pPr>
      <w:r w:rsidRPr="0054344B">
        <w:t>According to th</w:t>
      </w:r>
      <w:r w:rsidR="00AD024F" w:rsidRPr="0054344B">
        <w:t>e Cadbury Report</w:t>
      </w:r>
      <w:r w:rsidR="00911B65" w:rsidRPr="0054344B">
        <w:t>,</w:t>
      </w:r>
      <w:r w:rsidR="00AD024F" w:rsidRPr="0054344B">
        <w:t xml:space="preserve"> 1992, the Combined Code</w:t>
      </w:r>
      <w:r w:rsidR="00911B65" w:rsidRPr="0054344B">
        <w:t>,</w:t>
      </w:r>
      <w:r w:rsidR="00ED2971" w:rsidRPr="0054344B">
        <w:t xml:space="preserve"> 2003, </w:t>
      </w:r>
      <w:r w:rsidRPr="0054344B">
        <w:t>2006</w:t>
      </w:r>
      <w:r w:rsidR="00AD024F" w:rsidRPr="0054344B">
        <w:t>, and the FRC</w:t>
      </w:r>
      <w:r w:rsidR="00911B65" w:rsidRPr="0054344B">
        <w:t>,</w:t>
      </w:r>
      <w:r w:rsidR="00ED2971" w:rsidRPr="0054344B">
        <w:t xml:space="preserve"> 2016, </w:t>
      </w:r>
      <w:r w:rsidR="00CA7D27" w:rsidRPr="0054344B">
        <w:t xml:space="preserve">a </w:t>
      </w:r>
      <w:r w:rsidRPr="0054344B">
        <w:t>board of directors s</w:t>
      </w:r>
      <w:r w:rsidR="00ED2971" w:rsidRPr="0054344B">
        <w:t>hould establish board committees</w:t>
      </w:r>
      <w:r w:rsidR="00CA7D27" w:rsidRPr="0054344B">
        <w:t xml:space="preserve"> for</w:t>
      </w:r>
      <w:r w:rsidRPr="0054344B">
        <w:t xml:space="preserve"> auditing, remuneration nomination, e</w:t>
      </w:r>
      <w:r w:rsidR="00AD024F" w:rsidRPr="0054344B">
        <w:t xml:space="preserve">tc., to help improve efficiency. </w:t>
      </w:r>
      <w:r w:rsidRPr="0054344B">
        <w:rPr>
          <w:color w:val="000000"/>
        </w:rPr>
        <w:t>These committees are classified as key committe</w:t>
      </w:r>
      <w:r w:rsidR="00ED2971" w:rsidRPr="0054344B">
        <w:rPr>
          <w:color w:val="000000"/>
        </w:rPr>
        <w:t>es because of their contribution to</w:t>
      </w:r>
      <w:r w:rsidRPr="0054344B">
        <w:rPr>
          <w:color w:val="000000"/>
        </w:rPr>
        <w:t xml:space="preserve"> organisational </w:t>
      </w:r>
      <w:r w:rsidR="00AD024F" w:rsidRPr="0054344B">
        <w:rPr>
          <w:color w:val="000000"/>
        </w:rPr>
        <w:t xml:space="preserve">success as </w:t>
      </w:r>
      <w:r w:rsidRPr="0054344B">
        <w:rPr>
          <w:color w:val="000000"/>
        </w:rPr>
        <w:t>they help to assist in the dispatch of business activities by considering more detail than would be convenient for the whole board.</w:t>
      </w:r>
      <w:r w:rsidRPr="0054344B">
        <w:t xml:space="preserve"> Also, these</w:t>
      </w:r>
      <w:r w:rsidRPr="0054344B">
        <w:rPr>
          <w:color w:val="000000"/>
        </w:rPr>
        <w:t xml:space="preserve"> committees enhance </w:t>
      </w:r>
      <w:r w:rsidR="00CA7D27" w:rsidRPr="0054344B">
        <w:rPr>
          <w:color w:val="000000"/>
        </w:rPr>
        <w:t>a</w:t>
      </w:r>
      <w:r w:rsidRPr="0054344B">
        <w:rPr>
          <w:color w:val="000000"/>
        </w:rPr>
        <w:t xml:space="preserve"> firm’s corporate governance policies and improve investor confidence, eventually </w:t>
      </w:r>
      <w:r w:rsidR="00CA7D27" w:rsidRPr="0054344B">
        <w:rPr>
          <w:color w:val="000000"/>
        </w:rPr>
        <w:t xml:space="preserve">improving </w:t>
      </w:r>
      <w:r w:rsidRPr="0054344B">
        <w:rPr>
          <w:color w:val="000000"/>
        </w:rPr>
        <w:t>financial performance (</w:t>
      </w:r>
      <w:proofErr w:type="spellStart"/>
      <w:r w:rsidRPr="0054344B">
        <w:t>Charkham</w:t>
      </w:r>
      <w:proofErr w:type="spellEnd"/>
      <w:r w:rsidRPr="0054344B">
        <w:t xml:space="preserve">, 2005; </w:t>
      </w:r>
      <w:r w:rsidRPr="0054344B">
        <w:rPr>
          <w:color w:val="000000"/>
        </w:rPr>
        <w:t>FRC</w:t>
      </w:r>
      <w:r w:rsidR="00911B65" w:rsidRPr="0054344B">
        <w:rPr>
          <w:color w:val="000000"/>
        </w:rPr>
        <w:t>,</w:t>
      </w:r>
      <w:r w:rsidRPr="0054344B">
        <w:rPr>
          <w:color w:val="000000"/>
        </w:rPr>
        <w:t xml:space="preserve"> 2014; 2016; Cadbury Report</w:t>
      </w:r>
      <w:r w:rsidR="00911B65" w:rsidRPr="0054344B">
        <w:rPr>
          <w:color w:val="000000"/>
        </w:rPr>
        <w:t>,</w:t>
      </w:r>
      <w:r w:rsidRPr="0054344B">
        <w:rPr>
          <w:color w:val="000000"/>
        </w:rPr>
        <w:t xml:space="preserve"> 1992; Combined Code, 2003, 2006). </w:t>
      </w:r>
      <w:r w:rsidR="00CA7D27" w:rsidRPr="0054344B">
        <w:rPr>
          <w:color w:val="000000"/>
        </w:rPr>
        <w:t>A</w:t>
      </w:r>
      <w:r w:rsidRPr="0054344B">
        <w:rPr>
          <w:color w:val="000000"/>
        </w:rPr>
        <w:t xml:space="preserve">ll </w:t>
      </w:r>
      <w:r w:rsidR="00CA7D27" w:rsidRPr="0054344B">
        <w:rPr>
          <w:color w:val="000000"/>
        </w:rPr>
        <w:t xml:space="preserve">such committees </w:t>
      </w:r>
      <w:r w:rsidRPr="0054344B">
        <w:rPr>
          <w:color w:val="000000"/>
        </w:rPr>
        <w:t>scrutinis</w:t>
      </w:r>
      <w:r w:rsidR="00CA7D27" w:rsidRPr="0054344B">
        <w:rPr>
          <w:color w:val="000000"/>
        </w:rPr>
        <w:t>e</w:t>
      </w:r>
      <w:r w:rsidRPr="0054344B">
        <w:rPr>
          <w:color w:val="000000"/>
        </w:rPr>
        <w:t xml:space="preserve"> decisions and solv</w:t>
      </w:r>
      <w:r w:rsidR="00CA7D27" w:rsidRPr="0054344B">
        <w:rPr>
          <w:color w:val="000000"/>
        </w:rPr>
        <w:t>e</w:t>
      </w:r>
      <w:r w:rsidRPr="0054344B">
        <w:rPr>
          <w:color w:val="000000"/>
        </w:rPr>
        <w:t xml:space="preserve"> organisational problems. This research </w:t>
      </w:r>
      <w:r w:rsidR="00547BEC" w:rsidRPr="0054344B">
        <w:rPr>
          <w:color w:val="000000"/>
        </w:rPr>
        <w:t xml:space="preserve">aims </w:t>
      </w:r>
      <w:r w:rsidR="00CA7D27" w:rsidRPr="0054344B">
        <w:rPr>
          <w:color w:val="000000"/>
        </w:rPr>
        <w:t xml:space="preserve">to </w:t>
      </w:r>
      <w:r w:rsidRPr="0054344B">
        <w:rPr>
          <w:color w:val="000000"/>
        </w:rPr>
        <w:t xml:space="preserve">narrow down and focus on the adoption or the establishment of an audit committee (AC) as </w:t>
      </w:r>
      <w:r w:rsidR="00CA7D27" w:rsidRPr="0054344B">
        <w:rPr>
          <w:color w:val="000000"/>
        </w:rPr>
        <w:t xml:space="preserve">being </w:t>
      </w:r>
      <w:r w:rsidRPr="0054344B">
        <w:rPr>
          <w:color w:val="000000"/>
        </w:rPr>
        <w:t xml:space="preserve">one of </w:t>
      </w:r>
      <w:r w:rsidR="00CA7D27" w:rsidRPr="0054344B">
        <w:rPr>
          <w:color w:val="000000"/>
        </w:rPr>
        <w:t xml:space="preserve">the most </w:t>
      </w:r>
      <w:r w:rsidR="00CA7D27" w:rsidRPr="0054344B">
        <w:t>important functions</w:t>
      </w:r>
      <w:r w:rsidR="00CA7D27" w:rsidRPr="0054344B" w:rsidDel="00054A98">
        <w:rPr>
          <w:color w:val="000000"/>
        </w:rPr>
        <w:t xml:space="preserve"> </w:t>
      </w:r>
      <w:r w:rsidR="00751A9B" w:rsidRPr="0054344B">
        <w:rPr>
          <w:color w:val="000000"/>
        </w:rPr>
        <w:t xml:space="preserve">of the </w:t>
      </w:r>
      <w:r w:rsidRPr="0054344B">
        <w:rPr>
          <w:color w:val="000000"/>
        </w:rPr>
        <w:t>board</w:t>
      </w:r>
      <w:r w:rsidR="00054A98" w:rsidRPr="0054344B">
        <w:rPr>
          <w:color w:val="000000"/>
        </w:rPr>
        <w:t xml:space="preserve"> of director</w:t>
      </w:r>
      <w:r w:rsidR="00CA7D27" w:rsidRPr="0054344B">
        <w:rPr>
          <w:color w:val="000000"/>
        </w:rPr>
        <w:t>s</w:t>
      </w:r>
      <w:r w:rsidRPr="0054344B">
        <w:t xml:space="preserve">. </w:t>
      </w:r>
    </w:p>
    <w:p w14:paraId="419470BA" w14:textId="77777777" w:rsidR="0079376A" w:rsidRPr="0054344B" w:rsidRDefault="0079376A" w:rsidP="00BF0E75">
      <w:pPr>
        <w:pStyle w:val="PSLeipis"/>
      </w:pPr>
      <w:r w:rsidRPr="0054344B">
        <w:rPr>
          <w:iCs/>
        </w:rPr>
        <w:t>Generally</w:t>
      </w:r>
      <w:r w:rsidRPr="0054344B">
        <w:rPr>
          <w:i/>
          <w:iCs/>
        </w:rPr>
        <w:t xml:space="preserve">, </w:t>
      </w:r>
      <w:r w:rsidR="00D973F5" w:rsidRPr="0054344B">
        <w:t xml:space="preserve">there </w:t>
      </w:r>
      <w:r w:rsidRPr="0054344B">
        <w:t>should be at least three</w:t>
      </w:r>
      <w:r w:rsidR="00D973F5" w:rsidRPr="0054344B">
        <w:t xml:space="preserve"> AC members</w:t>
      </w:r>
      <w:r w:rsidRPr="0054344B">
        <w:t>, or in the case of smaller</w:t>
      </w:r>
      <w:r w:rsidRPr="0054344B">
        <w:rPr>
          <w:rFonts w:eastAsiaTheme="minorHAnsi"/>
        </w:rPr>
        <w:t xml:space="preserve"> companies</w:t>
      </w:r>
      <w:r w:rsidR="00ED2971" w:rsidRPr="0054344B">
        <w:rPr>
          <w:rFonts w:eastAsiaTheme="minorHAnsi"/>
        </w:rPr>
        <w:t>,</w:t>
      </w:r>
      <w:r w:rsidRPr="0054344B">
        <w:rPr>
          <w:rFonts w:eastAsiaTheme="minorHAnsi"/>
        </w:rPr>
        <w:t xml:space="preserve"> it can be two non-executive directors. The members</w:t>
      </w:r>
      <w:r w:rsidRPr="0054344B">
        <w:t xml:space="preserve"> should be independent</w:t>
      </w:r>
      <w:r w:rsidR="00054A98" w:rsidRPr="0054344B">
        <w:t xml:space="preserve"> and contain</w:t>
      </w:r>
      <w:r w:rsidRPr="0054344B">
        <w:t xml:space="preserve"> experience and ethical repute for </w:t>
      </w:r>
      <w:r w:rsidR="00054A98" w:rsidRPr="0054344B">
        <w:t>m</w:t>
      </w:r>
      <w:r w:rsidRPr="0054344B">
        <w:t xml:space="preserve">aking the right decisions and ensuring that the interests of shareholders are protected in relation to financial reporting and internal control. The requirements for the establishment of AC in </w:t>
      </w:r>
      <w:r w:rsidR="00ED2971" w:rsidRPr="0054344B">
        <w:t xml:space="preserve">the </w:t>
      </w:r>
      <w:r w:rsidR="00BE42E2" w:rsidRPr="0054344B">
        <w:t>UK are</w:t>
      </w:r>
      <w:r w:rsidRPr="0054344B">
        <w:t xml:space="preserve"> consistent with that of India, another Commonwealth country (FRC, 2016; </w:t>
      </w:r>
      <w:proofErr w:type="spellStart"/>
      <w:r w:rsidRPr="0054344B">
        <w:t>Khosa</w:t>
      </w:r>
      <w:proofErr w:type="spellEnd"/>
      <w:r w:rsidRPr="0054344B">
        <w:t xml:space="preserve">, 2017). </w:t>
      </w:r>
    </w:p>
    <w:p w14:paraId="76B55F71" w14:textId="77777777" w:rsidR="0079376A" w:rsidRPr="0054344B" w:rsidRDefault="0079376A" w:rsidP="00BF0E75">
      <w:pPr>
        <w:pStyle w:val="PSLeipis"/>
      </w:pPr>
      <w:r w:rsidRPr="0054344B">
        <w:t xml:space="preserve">In the same vein, the functions of </w:t>
      </w:r>
      <w:r w:rsidR="00D973F5" w:rsidRPr="0054344B">
        <w:t xml:space="preserve">an </w:t>
      </w:r>
      <w:r w:rsidRPr="0054344B">
        <w:t xml:space="preserve">AC are to monitor and review the integrity of </w:t>
      </w:r>
      <w:r w:rsidR="00BE42E2" w:rsidRPr="0054344B">
        <w:t>the</w:t>
      </w:r>
      <w:r w:rsidR="00D973F5" w:rsidRPr="0054344B">
        <w:t>ir</w:t>
      </w:r>
      <w:r w:rsidR="00BE42E2" w:rsidRPr="0054344B">
        <w:t xml:space="preserve"> firm’s financial statements and</w:t>
      </w:r>
      <w:r w:rsidRPr="0054344B">
        <w:t xml:space="preserve"> </w:t>
      </w:r>
      <w:r w:rsidR="00ED2971" w:rsidRPr="0054344B">
        <w:t>audit process and</w:t>
      </w:r>
      <w:r w:rsidRPr="0054344B">
        <w:t xml:space="preserve"> risk management systems</w:t>
      </w:r>
      <w:r w:rsidR="00B34714" w:rsidRPr="0054344B">
        <w:t>.</w:t>
      </w:r>
      <w:r w:rsidR="003669E5" w:rsidRPr="0054344B">
        <w:t xml:space="preserve"> </w:t>
      </w:r>
      <w:r w:rsidR="00B34714" w:rsidRPr="0054344B">
        <w:t>Further</w:t>
      </w:r>
      <w:r w:rsidR="003669E5" w:rsidRPr="0054344B">
        <w:t xml:space="preserve"> functions </w:t>
      </w:r>
      <w:r w:rsidR="00B34714" w:rsidRPr="0054344B">
        <w:t>include the following:</w:t>
      </w:r>
      <w:r w:rsidRPr="0054344B">
        <w:t xml:space="preserve"> </w:t>
      </w:r>
      <w:r w:rsidR="00BE42E2" w:rsidRPr="0054344B">
        <w:t xml:space="preserve">to </w:t>
      </w:r>
      <w:r w:rsidRPr="0054344B">
        <w:t>ensure professional judgemen</w:t>
      </w:r>
      <w:r w:rsidR="00B34714" w:rsidRPr="0054344B">
        <w:t>t and help meet audit standards and make</w:t>
      </w:r>
      <w:r w:rsidRPr="0054344B">
        <w:t xml:space="preserve"> recommendations to the board and shareholders regarding the appointment, re-appointment and </w:t>
      </w:r>
      <w:r w:rsidR="00B34714" w:rsidRPr="0054344B">
        <w:t xml:space="preserve">removal of </w:t>
      </w:r>
      <w:r w:rsidR="00D973F5" w:rsidRPr="0054344B">
        <w:t xml:space="preserve">an </w:t>
      </w:r>
      <w:r w:rsidR="00B34714" w:rsidRPr="0054344B">
        <w:t>external auditor.</w:t>
      </w:r>
      <w:r w:rsidRPr="0054344B">
        <w:t xml:space="preserve"> </w:t>
      </w:r>
      <w:r w:rsidR="00751A9B" w:rsidRPr="0054344B">
        <w:t xml:space="preserve">Also, the functions of </w:t>
      </w:r>
      <w:r w:rsidR="00FA4C32" w:rsidRPr="0054344B">
        <w:t>the</w:t>
      </w:r>
      <w:r w:rsidR="00751A9B" w:rsidRPr="0054344B">
        <w:t xml:space="preserve"> AC are</w:t>
      </w:r>
      <w:r w:rsidR="005323F6" w:rsidRPr="0054344B">
        <w:t xml:space="preserve"> </w:t>
      </w:r>
      <w:r w:rsidRPr="0054344B">
        <w:t>to approve the remuneration and terms of engagement of the external auditor</w:t>
      </w:r>
      <w:r w:rsidR="00B34714" w:rsidRPr="0054344B">
        <w:t xml:space="preserve"> and </w:t>
      </w:r>
      <w:r w:rsidRPr="0054344B">
        <w:t>review audit fees and f</w:t>
      </w:r>
      <w:r w:rsidR="00B34714" w:rsidRPr="0054344B">
        <w:t xml:space="preserve">ees paid for any non-audit work. The </w:t>
      </w:r>
      <w:r w:rsidR="00D973F5" w:rsidRPr="0054344B">
        <w:t xml:space="preserve">AC </w:t>
      </w:r>
      <w:r w:rsidRPr="0054344B">
        <w:t>implement</w:t>
      </w:r>
      <w:r w:rsidR="00B34714" w:rsidRPr="0054344B">
        <w:t>s</w:t>
      </w:r>
      <w:r w:rsidRPr="0054344B">
        <w:t xml:space="preserve"> policy on the engagement of the external auditor concerning the supply of non-audit services</w:t>
      </w:r>
      <w:r w:rsidR="00B34714" w:rsidRPr="0054344B">
        <w:t>, serving</w:t>
      </w:r>
      <w:r w:rsidRPr="0054344B">
        <w:t xml:space="preserve"> as a bridge between the internal auditors, </w:t>
      </w:r>
      <w:r w:rsidR="00B34714" w:rsidRPr="0054344B">
        <w:t>external auditors and the board</w:t>
      </w:r>
      <w:r w:rsidR="00D973F5" w:rsidRPr="0054344B">
        <w:t xml:space="preserve"> of directors</w:t>
      </w:r>
      <w:r w:rsidR="00B34714" w:rsidRPr="0054344B">
        <w:t>.</w:t>
      </w:r>
      <w:r w:rsidRPr="0054344B">
        <w:t xml:space="preserve"> </w:t>
      </w:r>
      <w:r w:rsidR="00B34714" w:rsidRPr="0054344B">
        <w:t xml:space="preserve">The </w:t>
      </w:r>
      <w:r w:rsidR="00D973F5" w:rsidRPr="0054344B">
        <w:t xml:space="preserve">AC </w:t>
      </w:r>
      <w:r w:rsidR="00B34714" w:rsidRPr="0054344B">
        <w:t>is</w:t>
      </w:r>
      <w:r w:rsidRPr="0054344B">
        <w:t xml:space="preserve"> involved in whistle blowing</w:t>
      </w:r>
      <w:r w:rsidR="00D973F5" w:rsidRPr="0054344B">
        <w:t>,</w:t>
      </w:r>
      <w:r w:rsidRPr="0054344B">
        <w:t xml:space="preserve"> review</w:t>
      </w:r>
      <w:r w:rsidR="00C7187F" w:rsidRPr="0054344B">
        <w:t>ing</w:t>
      </w:r>
      <w:r w:rsidRPr="0054344B">
        <w:t xml:space="preserve"> and monitor</w:t>
      </w:r>
      <w:r w:rsidR="00C7187F" w:rsidRPr="0054344B">
        <w:t>ing</w:t>
      </w:r>
      <w:r w:rsidRPr="0054344B">
        <w:t xml:space="preserve"> the external auditor’s inde</w:t>
      </w:r>
      <w:r w:rsidR="00C7187F" w:rsidRPr="0054344B">
        <w:t>pendence and objectivity</w:t>
      </w:r>
      <w:r w:rsidR="00D973F5" w:rsidRPr="0054344B">
        <w:t>,</w:t>
      </w:r>
      <w:r w:rsidR="00C7187F" w:rsidRPr="0054344B">
        <w:t xml:space="preserve"> ensuring</w:t>
      </w:r>
      <w:r w:rsidRPr="0054344B">
        <w:t xml:space="preserve"> </w:t>
      </w:r>
      <w:r w:rsidR="00054A98" w:rsidRPr="0054344B">
        <w:t xml:space="preserve">the </w:t>
      </w:r>
      <w:r w:rsidRPr="0054344B">
        <w:t>timely release of unbiased accounting information by managers to shareholders</w:t>
      </w:r>
      <w:r w:rsidR="00054A98" w:rsidRPr="0054344B">
        <w:t xml:space="preserve"> as well as</w:t>
      </w:r>
      <w:r w:rsidRPr="0054344B">
        <w:t xml:space="preserve"> </w:t>
      </w:r>
      <w:r w:rsidRPr="0054344B">
        <w:lastRenderedPageBreak/>
        <w:t>help</w:t>
      </w:r>
      <w:r w:rsidR="00054A98" w:rsidRPr="0054344B">
        <w:t>ing</w:t>
      </w:r>
      <w:r w:rsidRPr="0054344B">
        <w:t xml:space="preserve"> to avoid financial fraud and increase</w:t>
      </w:r>
      <w:r w:rsidR="005323F6" w:rsidRPr="0054344B">
        <w:t xml:space="preserve"> firm performance (Smith review</w:t>
      </w:r>
      <w:r w:rsidR="00911B65" w:rsidRPr="0054344B">
        <w:t>,</w:t>
      </w:r>
      <w:r w:rsidR="005323F6" w:rsidRPr="0054344B">
        <w:t xml:space="preserve"> 2003; Klein</w:t>
      </w:r>
      <w:r w:rsidR="00911B65" w:rsidRPr="0054344B">
        <w:t>,</w:t>
      </w:r>
      <w:r w:rsidR="005323F6" w:rsidRPr="0054344B">
        <w:t xml:space="preserve"> 1998; FRC</w:t>
      </w:r>
      <w:r w:rsidR="00911B65" w:rsidRPr="0054344B">
        <w:t>,</w:t>
      </w:r>
      <w:r w:rsidR="005323F6" w:rsidRPr="0054344B">
        <w:t xml:space="preserve"> 2014 &amp; 2016; </w:t>
      </w:r>
      <w:proofErr w:type="spellStart"/>
      <w:r w:rsidR="005323F6" w:rsidRPr="0054344B">
        <w:t>Mallin</w:t>
      </w:r>
      <w:proofErr w:type="spellEnd"/>
      <w:r w:rsidR="00911B65" w:rsidRPr="0054344B">
        <w:t>,</w:t>
      </w:r>
      <w:r w:rsidR="005323F6" w:rsidRPr="0054344B">
        <w:t xml:space="preserve"> 2006; Walker review</w:t>
      </w:r>
      <w:r w:rsidR="00911B65" w:rsidRPr="0054344B">
        <w:t>,</w:t>
      </w:r>
      <w:r w:rsidR="005323F6" w:rsidRPr="0054344B">
        <w:t xml:space="preserve"> 2009; Chong</w:t>
      </w:r>
      <w:r w:rsidR="00911B65" w:rsidRPr="0054344B">
        <w:t>,</w:t>
      </w:r>
      <w:r w:rsidRPr="0054344B">
        <w:t xml:space="preserve"> 2015). </w:t>
      </w:r>
    </w:p>
    <w:p w14:paraId="271B6405" w14:textId="77777777" w:rsidR="0079376A" w:rsidRPr="0054344B" w:rsidRDefault="0079376A" w:rsidP="00BF0E75">
      <w:pPr>
        <w:pStyle w:val="PSLeipis"/>
      </w:pPr>
      <w:r w:rsidRPr="0054344B">
        <w:t>Based on these</w:t>
      </w:r>
      <w:r w:rsidR="00A77B25" w:rsidRPr="0054344B">
        <w:t xml:space="preserve"> </w:t>
      </w:r>
      <w:r w:rsidR="00054A98" w:rsidRPr="0054344B">
        <w:t xml:space="preserve">AC </w:t>
      </w:r>
      <w:r w:rsidRPr="0054344B">
        <w:t xml:space="preserve">functions, we empirically examine </w:t>
      </w:r>
      <w:r w:rsidR="00FB7BE6" w:rsidRPr="0054344B">
        <w:t xml:space="preserve">whether </w:t>
      </w:r>
      <w:r w:rsidRPr="0054344B">
        <w:t>their adoption in UK financial ins</w:t>
      </w:r>
      <w:r w:rsidR="00F45CB4" w:rsidRPr="0054344B">
        <w:t xml:space="preserve">titutions can have an impact </w:t>
      </w:r>
      <w:r w:rsidR="00D973F5" w:rsidRPr="0054344B">
        <w:t xml:space="preserve">on </w:t>
      </w:r>
      <w:r w:rsidR="00F45CB4" w:rsidRPr="0054344B">
        <w:t xml:space="preserve">the </w:t>
      </w:r>
      <w:r w:rsidRPr="0054344B">
        <w:t>financial value</w:t>
      </w:r>
      <w:r w:rsidR="00054A98" w:rsidRPr="0054344B">
        <w:t xml:space="preserve"> of firms</w:t>
      </w:r>
      <w:r w:rsidRPr="0054344B">
        <w:t xml:space="preserve">. </w:t>
      </w:r>
    </w:p>
    <w:p w14:paraId="60D8D1EE" w14:textId="77777777" w:rsidR="0079376A" w:rsidRPr="0054344B" w:rsidRDefault="008A756E" w:rsidP="00BF0E75">
      <w:pPr>
        <w:pStyle w:val="PSLeipis"/>
      </w:pPr>
      <w:r w:rsidRPr="0054344B">
        <w:t xml:space="preserve">The first motivation for conducting this research </w:t>
      </w:r>
      <w:r w:rsidR="0079376A" w:rsidRPr="0054344B">
        <w:t xml:space="preserve">is </w:t>
      </w:r>
      <w:r w:rsidRPr="0054344B">
        <w:t>that</w:t>
      </w:r>
      <w:r w:rsidR="0079376A" w:rsidRPr="0054344B">
        <w:t xml:space="preserve"> the </w:t>
      </w:r>
      <w:r w:rsidR="00FB7BE6" w:rsidRPr="0054344B">
        <w:t xml:space="preserve">AC is the </w:t>
      </w:r>
      <w:r w:rsidR="0079376A" w:rsidRPr="0054344B">
        <w:t xml:space="preserve">only committee that requires at least one of its members to have recent and relevant financial experience and that their duties should follow relevant UK professional and regulatory requirements (FRC, 2014, 2016; </w:t>
      </w:r>
      <w:proofErr w:type="spellStart"/>
      <w:r w:rsidR="0079376A" w:rsidRPr="0054344B">
        <w:t>Khosa</w:t>
      </w:r>
      <w:proofErr w:type="spellEnd"/>
      <w:r w:rsidR="0079376A" w:rsidRPr="0054344B">
        <w:t>, 2017).</w:t>
      </w:r>
      <w:r w:rsidR="000C6F99" w:rsidRPr="0054344B">
        <w:t xml:space="preserve"> </w:t>
      </w:r>
      <w:r w:rsidR="0079376A" w:rsidRPr="0054344B">
        <w:t xml:space="preserve">However, there is no strict regulatory requirement for the adoption of a nomination </w:t>
      </w:r>
      <w:r w:rsidR="00F13455" w:rsidRPr="0054344B">
        <w:t xml:space="preserve">process </w:t>
      </w:r>
      <w:r w:rsidR="0079376A" w:rsidRPr="0054344B">
        <w:t>or remu</w:t>
      </w:r>
      <w:r w:rsidR="003669E5" w:rsidRPr="0054344B">
        <w:t>neration committee by the board</w:t>
      </w:r>
      <w:r w:rsidR="0079376A" w:rsidRPr="0054344B">
        <w:t xml:space="preserve">. This makes the establishment of an AC crucial </w:t>
      </w:r>
      <w:r w:rsidR="00A63FFD" w:rsidRPr="0054344B">
        <w:t xml:space="preserve">to the board’s success and </w:t>
      </w:r>
      <w:r w:rsidR="0079376A" w:rsidRPr="0054344B">
        <w:t>creates an avenue by which to ascertain empi</w:t>
      </w:r>
      <w:r w:rsidR="003669E5" w:rsidRPr="0054344B">
        <w:t>rically if its establishment has</w:t>
      </w:r>
      <w:r w:rsidR="0079376A" w:rsidRPr="0054344B">
        <w:t xml:space="preserve"> a significant impact on firm value.</w:t>
      </w:r>
    </w:p>
    <w:p w14:paraId="78FA878D" w14:textId="77777777" w:rsidR="003E447F" w:rsidRPr="0054344B" w:rsidRDefault="0079376A" w:rsidP="00BF0E75">
      <w:pPr>
        <w:pStyle w:val="PSLeipis"/>
      </w:pPr>
      <w:r w:rsidRPr="0054344B">
        <w:t xml:space="preserve">The second motivation for embarking on this research is that there have been numerous corporate governance reforms in the UK (e.g., Cadbury </w:t>
      </w:r>
      <w:r w:rsidR="00FB7BE6" w:rsidRPr="0054344B">
        <w:t>R</w:t>
      </w:r>
      <w:r w:rsidRPr="0054344B">
        <w:t>eport</w:t>
      </w:r>
      <w:r w:rsidR="00911B65" w:rsidRPr="0054344B">
        <w:t>,</w:t>
      </w:r>
      <w:r w:rsidRPr="0054344B">
        <w:t xml:space="preserve"> 1992; </w:t>
      </w:r>
      <w:proofErr w:type="spellStart"/>
      <w:r w:rsidRPr="0054344B">
        <w:t>Greenbury</w:t>
      </w:r>
      <w:proofErr w:type="spellEnd"/>
      <w:r w:rsidR="00911B65" w:rsidRPr="0054344B">
        <w:t>,</w:t>
      </w:r>
      <w:r w:rsidR="00FB7BE6" w:rsidRPr="0054344B">
        <w:t xml:space="preserve"> </w:t>
      </w:r>
      <w:r w:rsidRPr="0054344B">
        <w:t xml:space="preserve">1995; </w:t>
      </w:r>
      <w:proofErr w:type="spellStart"/>
      <w:r w:rsidRPr="0054344B">
        <w:t>Hampel</w:t>
      </w:r>
      <w:proofErr w:type="spellEnd"/>
      <w:r w:rsidR="00911B65" w:rsidRPr="0054344B">
        <w:t>,</w:t>
      </w:r>
      <w:r w:rsidRPr="0054344B">
        <w:t xml:space="preserve"> 1998; Combined Code</w:t>
      </w:r>
      <w:r w:rsidR="00911B65" w:rsidRPr="0054344B">
        <w:t>,</w:t>
      </w:r>
      <w:r w:rsidRPr="0054344B">
        <w:t xml:space="preserve"> 2003, 2006; Turnbull</w:t>
      </w:r>
      <w:r w:rsidR="00911B65" w:rsidRPr="0054344B">
        <w:t>,</w:t>
      </w:r>
      <w:r w:rsidRPr="0054344B">
        <w:t xml:space="preserve"> 1999, 2005; </w:t>
      </w:r>
      <w:proofErr w:type="spellStart"/>
      <w:r w:rsidRPr="0054344B">
        <w:t>Myners</w:t>
      </w:r>
      <w:proofErr w:type="spellEnd"/>
      <w:r w:rsidR="00911B65" w:rsidRPr="0054344B">
        <w:t>,</w:t>
      </w:r>
      <w:r w:rsidRPr="0054344B">
        <w:t xml:space="preserve"> 2001; FSA </w:t>
      </w:r>
      <w:r w:rsidR="005323F6" w:rsidRPr="0054344B">
        <w:t>r</w:t>
      </w:r>
      <w:r w:rsidRPr="0054344B">
        <w:t>eview</w:t>
      </w:r>
      <w:r w:rsidR="00911B65" w:rsidRPr="0054344B">
        <w:t>,</w:t>
      </w:r>
      <w:r w:rsidRPr="0054344B">
        <w:t xml:space="preserve"> 2002; </w:t>
      </w:r>
      <w:r w:rsidR="00097E41" w:rsidRPr="0054344B">
        <w:t>Higgs</w:t>
      </w:r>
      <w:r w:rsidR="00911B65" w:rsidRPr="0054344B">
        <w:t>,</w:t>
      </w:r>
      <w:r w:rsidR="00097E41" w:rsidRPr="0054344B">
        <w:t xml:space="preserve"> 2003</w:t>
      </w:r>
      <w:r w:rsidRPr="0054344B">
        <w:t>; Tyson</w:t>
      </w:r>
      <w:r w:rsidR="00911B65" w:rsidRPr="0054344B">
        <w:t>,</w:t>
      </w:r>
      <w:r w:rsidR="005323F6" w:rsidRPr="0054344B">
        <w:t xml:space="preserve"> 2003; Smith r</w:t>
      </w:r>
      <w:r w:rsidRPr="0054344B">
        <w:t>eview</w:t>
      </w:r>
      <w:r w:rsidR="00911B65" w:rsidRPr="0054344B">
        <w:t>,</w:t>
      </w:r>
      <w:r w:rsidR="00097E41" w:rsidRPr="0054344B">
        <w:t xml:space="preserve"> 2003; Turner r</w:t>
      </w:r>
      <w:r w:rsidRPr="0054344B">
        <w:t>eview</w:t>
      </w:r>
      <w:r w:rsidR="00911B65" w:rsidRPr="0054344B">
        <w:t>,</w:t>
      </w:r>
      <w:r w:rsidR="00097E41" w:rsidRPr="0054344B">
        <w:t xml:space="preserve"> 2009; Walker r</w:t>
      </w:r>
      <w:r w:rsidRPr="0054344B">
        <w:t>eview</w:t>
      </w:r>
      <w:r w:rsidR="00911B65" w:rsidRPr="0054344B">
        <w:t>,</w:t>
      </w:r>
      <w:r w:rsidRPr="0054344B">
        <w:t xml:space="preserve"> 2009; Financial Services Bill</w:t>
      </w:r>
      <w:r w:rsidR="00911B65" w:rsidRPr="0054344B">
        <w:t>,</w:t>
      </w:r>
      <w:r w:rsidRPr="0054344B">
        <w:t xml:space="preserve"> 2010 and the Financial Reporting Council, 2014 &amp; 2016) to help firms improve their corporate governance policies. However, the adoption of these codes b</w:t>
      </w:r>
      <w:r w:rsidR="003669E5" w:rsidRPr="0054344B">
        <w:t>y firms is on a voluntary basis;</w:t>
      </w:r>
      <w:r w:rsidRPr="0054344B">
        <w:t xml:space="preserve"> this means that firms are not obliged to comply with the provision once they have reasons for non-compliance. The </w:t>
      </w:r>
      <w:r w:rsidRPr="0054344B">
        <w:rPr>
          <w:i/>
        </w:rPr>
        <w:t xml:space="preserve">Comply </w:t>
      </w:r>
      <w:r w:rsidRPr="0054344B">
        <w:t xml:space="preserve">or </w:t>
      </w:r>
      <w:r w:rsidRPr="0054344B">
        <w:rPr>
          <w:i/>
        </w:rPr>
        <w:t>Explain</w:t>
      </w:r>
      <w:r w:rsidRPr="0054344B">
        <w:t xml:space="preserve"> principles governing corporate governance adoption in the UK </w:t>
      </w:r>
      <w:r w:rsidR="008E1111" w:rsidRPr="0054344B">
        <w:t>make it very interesting to conduct an empirical study as this create</w:t>
      </w:r>
      <w:r w:rsidR="00F13455" w:rsidRPr="0054344B">
        <w:t>s</w:t>
      </w:r>
      <w:r w:rsidR="008E1111" w:rsidRPr="0054344B">
        <w:t xml:space="preserve"> a situation </w:t>
      </w:r>
      <w:r w:rsidR="00F13455" w:rsidRPr="0054344B">
        <w:t xml:space="preserve">where it is optional </w:t>
      </w:r>
      <w:r w:rsidR="008E1111" w:rsidRPr="0054344B">
        <w:t xml:space="preserve">for firms to </w:t>
      </w:r>
      <w:r w:rsidR="00E92F21" w:rsidRPr="0054344B">
        <w:t>comply</w:t>
      </w:r>
      <w:r w:rsidR="008E1111" w:rsidRPr="0054344B">
        <w:t xml:space="preserve"> with the adoption of the AC code, even though it is considered to be one of the most crucial committees for </w:t>
      </w:r>
      <w:r w:rsidR="00F13455" w:rsidRPr="0054344B">
        <w:t xml:space="preserve">the success of </w:t>
      </w:r>
      <w:r w:rsidR="008E1111" w:rsidRPr="0054344B">
        <w:t>a board</w:t>
      </w:r>
      <w:r w:rsidR="00F13455" w:rsidRPr="0054344B">
        <w:t xml:space="preserve"> of directors. Thus,</w:t>
      </w:r>
      <w:r w:rsidR="003E447F" w:rsidRPr="0054344B">
        <w:t xml:space="preserve"> an empirical study of firms </w:t>
      </w:r>
      <w:r w:rsidR="00F13455" w:rsidRPr="0054344B">
        <w:t xml:space="preserve">that have adopted an </w:t>
      </w:r>
      <w:r w:rsidR="003E447F" w:rsidRPr="0054344B">
        <w:t>AC is worthwhile undertaking.</w:t>
      </w:r>
    </w:p>
    <w:p w14:paraId="3E2F223C" w14:textId="77777777" w:rsidR="0079376A" w:rsidRPr="0054344B" w:rsidRDefault="0079376A" w:rsidP="00BF0E75">
      <w:pPr>
        <w:pStyle w:val="PSLeipis"/>
      </w:pPr>
      <w:r w:rsidRPr="0054344B">
        <w:t xml:space="preserve">The third motivation driving this research is </w:t>
      </w:r>
      <w:r w:rsidR="00F56BD2" w:rsidRPr="0054344B">
        <w:t>the</w:t>
      </w:r>
      <w:r w:rsidRPr="0054344B">
        <w:t xml:space="preserve"> need to ascertain how these financial firms performed during the pre- and post-financial crisis periods when they had an AC</w:t>
      </w:r>
      <w:r w:rsidR="003669E5" w:rsidRPr="0054344B">
        <w:t xml:space="preserve"> in place. </w:t>
      </w:r>
      <w:r w:rsidR="00B252F0" w:rsidRPr="0054344B">
        <w:t>This</w:t>
      </w:r>
      <w:r w:rsidR="003669E5" w:rsidRPr="0054344B">
        <w:t xml:space="preserve"> </w:t>
      </w:r>
      <w:r w:rsidR="00F13455" w:rsidRPr="0054344B">
        <w:t xml:space="preserve">should provide </w:t>
      </w:r>
      <w:r w:rsidR="003669E5" w:rsidRPr="0054344B">
        <w:t>a clear</w:t>
      </w:r>
      <w:r w:rsidRPr="0054344B">
        <w:t xml:space="preserve"> picture of the importance of </w:t>
      </w:r>
      <w:r w:rsidR="00F13455" w:rsidRPr="0054344B">
        <w:t xml:space="preserve">an AC </w:t>
      </w:r>
      <w:r w:rsidRPr="0054344B">
        <w:t xml:space="preserve">during any period. To the best of our knowledge, this is the first study to address </w:t>
      </w:r>
      <w:r w:rsidR="003669E5" w:rsidRPr="0054344B">
        <w:t xml:space="preserve">the impact of </w:t>
      </w:r>
      <w:r w:rsidRPr="0054344B">
        <w:t xml:space="preserve">AC </w:t>
      </w:r>
      <w:r w:rsidR="00F13455" w:rsidRPr="0054344B">
        <w:t xml:space="preserve">adoption </w:t>
      </w:r>
      <w:r w:rsidRPr="0054344B">
        <w:t xml:space="preserve">on UK financial institutions. </w:t>
      </w:r>
    </w:p>
    <w:p w14:paraId="314134EF" w14:textId="77777777" w:rsidR="0079376A" w:rsidRPr="0054344B" w:rsidRDefault="0079376A" w:rsidP="00BF0E75">
      <w:pPr>
        <w:pStyle w:val="PSLeipis"/>
      </w:pPr>
      <w:r w:rsidRPr="0054344B">
        <w:t>The final motivation steering this research is that</w:t>
      </w:r>
      <w:r w:rsidR="001759D8" w:rsidRPr="0054344B">
        <w:t xml:space="preserve"> there is a paucity of</w:t>
      </w:r>
      <w:r w:rsidRPr="0054344B">
        <w:t xml:space="preserve"> empirical AC research into banks and other f</w:t>
      </w:r>
      <w:r w:rsidR="001759D8" w:rsidRPr="0054344B">
        <w:t>inancial institutions</w:t>
      </w:r>
      <w:r w:rsidR="00DD1F37" w:rsidRPr="0054344B">
        <w:t xml:space="preserve"> and</w:t>
      </w:r>
      <w:r w:rsidRPr="0054344B">
        <w:t xml:space="preserve"> it is very rare to find it in accounting liter</w:t>
      </w:r>
      <w:r w:rsidR="00A63FFD" w:rsidRPr="0054344B">
        <w:t xml:space="preserve">ature. This makes research </w:t>
      </w:r>
      <w:r w:rsidR="00E21F8B" w:rsidRPr="0054344B">
        <w:t xml:space="preserve">of ACs </w:t>
      </w:r>
      <w:r w:rsidR="00F13455" w:rsidRPr="0054344B">
        <w:t xml:space="preserve">that references </w:t>
      </w:r>
      <w:r w:rsidRPr="0054344B">
        <w:t>UK finan</w:t>
      </w:r>
      <w:r w:rsidR="00B81F5C" w:rsidRPr="0054344B">
        <w:t>cial firms worthwhile</w:t>
      </w:r>
      <w:r w:rsidR="00E21F8B" w:rsidRPr="0054344B">
        <w:t xml:space="preserve"> as it </w:t>
      </w:r>
      <w:r w:rsidR="001759D8" w:rsidRPr="0054344B">
        <w:t>help</w:t>
      </w:r>
      <w:r w:rsidR="00E21F8B" w:rsidRPr="0054344B">
        <w:t>s</w:t>
      </w:r>
      <w:r w:rsidR="001759D8" w:rsidRPr="0054344B">
        <w:t xml:space="preserve"> </w:t>
      </w:r>
      <w:r w:rsidR="00E21F8B" w:rsidRPr="0054344B">
        <w:t xml:space="preserve">to </w:t>
      </w:r>
      <w:r w:rsidR="001759D8" w:rsidRPr="0054344B">
        <w:t xml:space="preserve">fill </w:t>
      </w:r>
      <w:r w:rsidR="00E21F8B" w:rsidRPr="0054344B">
        <w:t xml:space="preserve">a </w:t>
      </w:r>
      <w:r w:rsidRPr="0054344B">
        <w:t xml:space="preserve">gap in accounting literature and make an important contribution to </w:t>
      </w:r>
      <w:r w:rsidR="00E21F8B" w:rsidRPr="0054344B">
        <w:t>knowledge on audit committees</w:t>
      </w:r>
      <w:r w:rsidRPr="0054344B">
        <w:t>.</w:t>
      </w:r>
    </w:p>
    <w:p w14:paraId="2D988633" w14:textId="77777777" w:rsidR="0079376A" w:rsidRPr="0054344B" w:rsidRDefault="0079376A" w:rsidP="00BF0E75">
      <w:pPr>
        <w:pStyle w:val="PSLeipis"/>
      </w:pPr>
      <w:r w:rsidRPr="0054344B">
        <w:lastRenderedPageBreak/>
        <w:t>This AC research will be centred on UK finan</w:t>
      </w:r>
      <w:r w:rsidR="001759D8" w:rsidRPr="0054344B">
        <w:t>cial institutions as the UK is</w:t>
      </w:r>
      <w:r w:rsidRPr="0054344B">
        <w:t xml:space="preserve"> </w:t>
      </w:r>
      <w:r w:rsidR="00E21F8B" w:rsidRPr="0054344B">
        <w:t xml:space="preserve">one of the </w:t>
      </w:r>
      <w:r w:rsidRPr="0054344B">
        <w:t>world-leading hub</w:t>
      </w:r>
      <w:r w:rsidR="00E21F8B" w:rsidRPr="0054344B">
        <w:t>s</w:t>
      </w:r>
      <w:r w:rsidRPr="0054344B">
        <w:t xml:space="preserve"> for the financial services industry. The sector offers products such as banking, insurance, mortgages, asset management and mutual funds to stakeholders (BoE and HM Treasury, 2015). Conducting research into financial institutions is unique and different from non-financial firms because the sector is highly regulated and deposits are paid to the Bank of England (BoE) as insurance for customers</w:t>
      </w:r>
      <w:r w:rsidR="00E21F8B" w:rsidRPr="0054344B">
        <w:t>,</w:t>
      </w:r>
      <w:r w:rsidRPr="0054344B">
        <w:t xml:space="preserve"> </w:t>
      </w:r>
      <w:r w:rsidR="00E21F8B" w:rsidRPr="0054344B">
        <w:t xml:space="preserve">thus </w:t>
      </w:r>
      <w:r w:rsidR="00DD1F37" w:rsidRPr="0054344B">
        <w:t>avoid</w:t>
      </w:r>
      <w:r w:rsidR="00E21F8B" w:rsidRPr="0054344B">
        <w:t>ing</w:t>
      </w:r>
      <w:r w:rsidR="00DD1F37" w:rsidRPr="0054344B">
        <w:t xml:space="preserve"> </w:t>
      </w:r>
      <w:r w:rsidRPr="0054344B">
        <w:t xml:space="preserve">any uncertainty (Macey and O’Hara, 2003; </w:t>
      </w:r>
      <w:proofErr w:type="spellStart"/>
      <w:r w:rsidRPr="0054344B">
        <w:t>Zagorchev</w:t>
      </w:r>
      <w:proofErr w:type="spellEnd"/>
      <w:r w:rsidRPr="0054344B">
        <w:t xml:space="preserve"> and Gao, 2015). In the same vein, research </w:t>
      </w:r>
      <w:r w:rsidR="00E21F8B" w:rsidRPr="0054344B">
        <w:t xml:space="preserve">into financial institutions in the </w:t>
      </w:r>
      <w:r w:rsidR="00DD1F37" w:rsidRPr="0054344B">
        <w:t xml:space="preserve">UK </w:t>
      </w:r>
      <w:r w:rsidR="00E21F8B" w:rsidRPr="0054344B">
        <w:t xml:space="preserve">is also unique because the </w:t>
      </w:r>
      <w:r w:rsidR="001759D8" w:rsidRPr="0054344B">
        <w:t>government regulation of</w:t>
      </w:r>
      <w:r w:rsidRPr="0054344B">
        <w:t xml:space="preserve"> these firms is supported by international bodies such as the International Corporate Governance Network (ICGN), Organisation for Economic Co-o</w:t>
      </w:r>
      <w:r w:rsidR="00A63FFD" w:rsidRPr="0054344B">
        <w:t>peration and Development (OECD) and</w:t>
      </w:r>
      <w:r w:rsidRPr="0054344B">
        <w:t xml:space="preserve"> International Regulatory Framework for Banks (Basel III), etc. These organisational bodies help to create global standards for these institutions. The adoption of an AC will ensure that they comply with regulations that can affect </w:t>
      </w:r>
      <w:r w:rsidR="00DD1F37" w:rsidRPr="0054344B">
        <w:t>a</w:t>
      </w:r>
      <w:r w:rsidRPr="0054344B">
        <w:t xml:space="preserve"> firm’s financial statement. Finally, financial institutions are more volatile than other sectors of the economy and </w:t>
      </w:r>
      <w:r w:rsidR="00DD1F37" w:rsidRPr="0054344B">
        <w:t xml:space="preserve">require </w:t>
      </w:r>
      <w:r w:rsidRPr="0054344B">
        <w:t>strict oversight responsibility</w:t>
      </w:r>
      <w:r w:rsidR="00DD1F37" w:rsidRPr="0054344B">
        <w:t>, which is accomplished</w:t>
      </w:r>
      <w:r w:rsidRPr="0054344B">
        <w:t xml:space="preserve"> by the adoption of an AC (Macey and O’Hara, 2003; </w:t>
      </w:r>
      <w:proofErr w:type="spellStart"/>
      <w:r w:rsidRPr="0054344B">
        <w:t>Zagorchev</w:t>
      </w:r>
      <w:proofErr w:type="spellEnd"/>
      <w:r w:rsidRPr="0054344B">
        <w:t xml:space="preserve"> and Gao, 2015).</w:t>
      </w:r>
    </w:p>
    <w:p w14:paraId="4F61100B" w14:textId="77777777" w:rsidR="0079376A" w:rsidRPr="0054344B" w:rsidRDefault="0079376A" w:rsidP="00BF0E75">
      <w:pPr>
        <w:pStyle w:val="PSLeipis"/>
      </w:pPr>
      <w:r w:rsidRPr="0054344B">
        <w:t xml:space="preserve">To </w:t>
      </w:r>
      <w:r w:rsidR="00DD1F37" w:rsidRPr="0054344B">
        <w:t xml:space="preserve">conduct an </w:t>
      </w:r>
      <w:r w:rsidRPr="0054344B">
        <w:t>empirical</w:t>
      </w:r>
      <w:r w:rsidR="00DD1F37" w:rsidRPr="0054344B">
        <w:t xml:space="preserve"> study in</w:t>
      </w:r>
      <w:r w:rsidRPr="0054344B">
        <w:t>to</w:t>
      </w:r>
      <w:r w:rsidRPr="0054344B">
        <w:rPr>
          <w:color w:val="000000"/>
        </w:rPr>
        <w:t xml:space="preserve"> these motivations, this research explore</w:t>
      </w:r>
      <w:r w:rsidR="008552BC" w:rsidRPr="0054344B">
        <w:rPr>
          <w:color w:val="000000"/>
        </w:rPr>
        <w:t>s</w:t>
      </w:r>
      <w:r w:rsidRPr="0054344B">
        <w:rPr>
          <w:color w:val="000000"/>
        </w:rPr>
        <w:t xml:space="preserve"> the following questions:</w:t>
      </w:r>
      <w:r w:rsidRPr="0054344B">
        <w:t xml:space="preserve"> first, what </w:t>
      </w:r>
      <w:r w:rsidR="00DD1F37" w:rsidRPr="0054344B">
        <w:t xml:space="preserve">were </w:t>
      </w:r>
      <w:r w:rsidRPr="0054344B">
        <w:t>the financial</w:t>
      </w:r>
      <w:r w:rsidR="00097E41" w:rsidRPr="0054344B">
        <w:t xml:space="preserve"> impacts of </w:t>
      </w:r>
      <w:r w:rsidR="00FA4C32" w:rsidRPr="0054344B">
        <w:t xml:space="preserve">the </w:t>
      </w:r>
      <w:r w:rsidR="00097E41" w:rsidRPr="0054344B">
        <w:t xml:space="preserve">adoption </w:t>
      </w:r>
      <w:r w:rsidR="00FA4C32" w:rsidRPr="0054344B">
        <w:t xml:space="preserve">of ACs </w:t>
      </w:r>
      <w:r w:rsidR="00097E41" w:rsidRPr="0054344B">
        <w:t>by UK financial institutions</w:t>
      </w:r>
      <w:r w:rsidRPr="0054344B">
        <w:t>?</w:t>
      </w:r>
      <w:r w:rsidR="00911B65" w:rsidRPr="0054344B">
        <w:t xml:space="preserve"> </w:t>
      </w:r>
      <w:r w:rsidRPr="0054344B">
        <w:t xml:space="preserve">Second, what </w:t>
      </w:r>
      <w:r w:rsidR="00DD1F37" w:rsidRPr="0054344B">
        <w:t xml:space="preserve">were </w:t>
      </w:r>
      <w:r w:rsidRPr="0054344B">
        <w:t xml:space="preserve">the effects of </w:t>
      </w:r>
      <w:r w:rsidR="00FA4C32" w:rsidRPr="0054344B">
        <w:t>the</w:t>
      </w:r>
      <w:r w:rsidRPr="0054344B">
        <w:rPr>
          <w:color w:val="000000"/>
        </w:rPr>
        <w:t xml:space="preserve"> AC</w:t>
      </w:r>
      <w:r w:rsidRPr="0054344B">
        <w:t xml:space="preserve"> on firm value during the pre</w:t>
      </w:r>
      <w:r w:rsidR="00BB4B2B" w:rsidRPr="0054344B">
        <w:t xml:space="preserve">- and </w:t>
      </w:r>
      <w:r w:rsidRPr="0054344B">
        <w:t xml:space="preserve">post-financial crisis periods? The research findings reveal that the adoption of an </w:t>
      </w:r>
      <w:r w:rsidRPr="0054344B">
        <w:rPr>
          <w:color w:val="000000"/>
        </w:rPr>
        <w:t>AC</w:t>
      </w:r>
      <w:r w:rsidRPr="0054344B">
        <w:t xml:space="preserve"> has a positive and statistically significant relationship with </w:t>
      </w:r>
      <w:r w:rsidR="00DD1F37" w:rsidRPr="0054344B">
        <w:t xml:space="preserve">a </w:t>
      </w:r>
      <w:r w:rsidRPr="0054344B">
        <w:t xml:space="preserve">firm’s value. A further investigation indicates a positive and statistically significant association between </w:t>
      </w:r>
      <w:r w:rsidRPr="0054344B">
        <w:rPr>
          <w:color w:val="000000"/>
        </w:rPr>
        <w:t>AC</w:t>
      </w:r>
      <w:r w:rsidRPr="0054344B">
        <w:t xml:space="preserve"> and </w:t>
      </w:r>
      <w:r w:rsidR="008552BC" w:rsidRPr="0054344B">
        <w:t xml:space="preserve">firm </w:t>
      </w:r>
      <w:r w:rsidRPr="0054344B">
        <w:t>value during the pre-crisis but a weak one during the post-crisis era. A reasonable explanation may be that, after the financial crisis (2009-2011), the entire UK economy was experiencing an economic downturn and financial firms were no exception</w:t>
      </w:r>
      <w:r w:rsidR="00E21F8B" w:rsidRPr="0054344B">
        <w:t>,</w:t>
      </w:r>
      <w:r w:rsidRPr="0054344B">
        <w:t xml:space="preserve"> irrespective of whether they had an</w:t>
      </w:r>
      <w:r w:rsidRPr="0054344B">
        <w:rPr>
          <w:color w:val="000000"/>
        </w:rPr>
        <w:t xml:space="preserve"> AC</w:t>
      </w:r>
      <w:r w:rsidRPr="0054344B">
        <w:t xml:space="preserve"> in place or not. </w:t>
      </w:r>
    </w:p>
    <w:p w14:paraId="59B154B4" w14:textId="77777777" w:rsidR="0079376A" w:rsidRPr="00DC41C4" w:rsidRDefault="0079376A" w:rsidP="00BF0E75">
      <w:pPr>
        <w:pStyle w:val="PSLeipis"/>
        <w:rPr>
          <w:rFonts w:eastAsiaTheme="minorHAnsi"/>
          <w:spacing w:val="2"/>
        </w:rPr>
      </w:pPr>
      <w:r w:rsidRPr="00DC41C4">
        <w:rPr>
          <w:rFonts w:eastAsiaTheme="minorHAnsi"/>
          <w:spacing w:val="2"/>
        </w:rPr>
        <w:t>The remainder of th</w:t>
      </w:r>
      <w:r w:rsidR="003B0223" w:rsidRPr="00DC41C4">
        <w:rPr>
          <w:rFonts w:eastAsiaTheme="minorHAnsi"/>
          <w:spacing w:val="2"/>
        </w:rPr>
        <w:t>e paper is organised as follows:</w:t>
      </w:r>
      <w:r w:rsidRPr="00DC41C4">
        <w:rPr>
          <w:rFonts w:eastAsiaTheme="minorHAnsi"/>
          <w:spacing w:val="2"/>
        </w:rPr>
        <w:t xml:space="preserve"> Section 2 discus</w:t>
      </w:r>
      <w:r w:rsidR="001759D8" w:rsidRPr="00DC41C4">
        <w:rPr>
          <w:rFonts w:eastAsiaTheme="minorHAnsi"/>
          <w:spacing w:val="2"/>
        </w:rPr>
        <w:t>se</w:t>
      </w:r>
      <w:r w:rsidRPr="00DC41C4">
        <w:rPr>
          <w:rFonts w:eastAsiaTheme="minorHAnsi"/>
          <w:spacing w:val="2"/>
        </w:rPr>
        <w:t>s the theoretical literature review</w:t>
      </w:r>
      <w:r w:rsidR="00DD1F37" w:rsidRPr="00DC41C4">
        <w:rPr>
          <w:rFonts w:eastAsiaTheme="minorHAnsi"/>
          <w:spacing w:val="2"/>
        </w:rPr>
        <w:t>,</w:t>
      </w:r>
      <w:r w:rsidRPr="00DC41C4">
        <w:rPr>
          <w:rFonts w:eastAsiaTheme="minorHAnsi"/>
          <w:spacing w:val="2"/>
        </w:rPr>
        <w:t xml:space="preserve"> which covers the agency theory, the financial crisis and pri</w:t>
      </w:r>
      <w:r w:rsidR="001759D8" w:rsidRPr="00DC41C4">
        <w:rPr>
          <w:rFonts w:eastAsiaTheme="minorHAnsi"/>
          <w:spacing w:val="2"/>
        </w:rPr>
        <w:t>or audit committee</w:t>
      </w:r>
      <w:r w:rsidR="00427E4B" w:rsidRPr="00DC41C4">
        <w:rPr>
          <w:rFonts w:eastAsiaTheme="minorHAnsi"/>
          <w:spacing w:val="2"/>
        </w:rPr>
        <w:t xml:space="preserve"> studies </w:t>
      </w:r>
      <w:r w:rsidR="00DD1F37" w:rsidRPr="00DC41C4">
        <w:rPr>
          <w:rFonts w:eastAsiaTheme="minorHAnsi"/>
          <w:spacing w:val="2"/>
        </w:rPr>
        <w:t xml:space="preserve">as well as the </w:t>
      </w:r>
      <w:r w:rsidRPr="00DC41C4">
        <w:rPr>
          <w:rFonts w:eastAsiaTheme="minorHAnsi"/>
          <w:spacing w:val="2"/>
        </w:rPr>
        <w:t>development</w:t>
      </w:r>
      <w:r w:rsidR="00DD1F37" w:rsidRPr="00DC41C4">
        <w:rPr>
          <w:rFonts w:eastAsiaTheme="minorHAnsi"/>
          <w:spacing w:val="2"/>
        </w:rPr>
        <w:t xml:space="preserve"> of the hypotheses</w:t>
      </w:r>
      <w:r w:rsidRPr="00DC41C4">
        <w:rPr>
          <w:rFonts w:eastAsiaTheme="minorHAnsi"/>
          <w:spacing w:val="2"/>
        </w:rPr>
        <w:t>. Section 3 presents the research method, data and sample selection, the regression design and the test for multicollinearity. Section 4 describes the empirical discussions and findings of this research, test</w:t>
      </w:r>
      <w:r w:rsidR="001759D8" w:rsidRPr="00DC41C4">
        <w:rPr>
          <w:rFonts w:eastAsiaTheme="minorHAnsi"/>
          <w:spacing w:val="2"/>
        </w:rPr>
        <w:t>s</w:t>
      </w:r>
      <w:r w:rsidRPr="00DC41C4">
        <w:rPr>
          <w:rFonts w:eastAsiaTheme="minorHAnsi"/>
          <w:spacing w:val="2"/>
        </w:rPr>
        <w:t xml:space="preserve"> for the robustne</w:t>
      </w:r>
      <w:r w:rsidR="001759D8" w:rsidRPr="00DC41C4">
        <w:rPr>
          <w:rFonts w:eastAsiaTheme="minorHAnsi"/>
          <w:spacing w:val="2"/>
        </w:rPr>
        <w:t xml:space="preserve">ss of the results and </w:t>
      </w:r>
      <w:r w:rsidR="00DF2F34" w:rsidRPr="00DC41C4">
        <w:rPr>
          <w:rFonts w:eastAsiaTheme="minorHAnsi"/>
          <w:spacing w:val="2"/>
        </w:rPr>
        <w:t>control</w:t>
      </w:r>
      <w:r w:rsidRPr="00DC41C4">
        <w:rPr>
          <w:rFonts w:eastAsiaTheme="minorHAnsi"/>
          <w:spacing w:val="2"/>
        </w:rPr>
        <w:t xml:space="preserve"> for </w:t>
      </w:r>
      <w:r w:rsidR="00911B65" w:rsidRPr="00DC41C4">
        <w:rPr>
          <w:rFonts w:eastAsiaTheme="minorHAnsi"/>
          <w:spacing w:val="2"/>
        </w:rPr>
        <w:t>endogeneity</w:t>
      </w:r>
      <w:r w:rsidRPr="00DC41C4">
        <w:rPr>
          <w:rFonts w:eastAsiaTheme="minorHAnsi"/>
          <w:spacing w:val="2"/>
        </w:rPr>
        <w:t>. Section 5 provides the summary and conclusion of the study, outline</w:t>
      </w:r>
      <w:r w:rsidR="001759D8" w:rsidRPr="00DC41C4">
        <w:rPr>
          <w:rFonts w:eastAsiaTheme="minorHAnsi"/>
          <w:spacing w:val="2"/>
        </w:rPr>
        <w:t>s its limitations</w:t>
      </w:r>
      <w:r w:rsidRPr="00DC41C4">
        <w:rPr>
          <w:rFonts w:eastAsiaTheme="minorHAnsi"/>
          <w:spacing w:val="2"/>
        </w:rPr>
        <w:t xml:space="preserve"> and suggest</w:t>
      </w:r>
      <w:r w:rsidR="001759D8" w:rsidRPr="00DC41C4">
        <w:rPr>
          <w:rFonts w:eastAsiaTheme="minorHAnsi"/>
          <w:spacing w:val="2"/>
        </w:rPr>
        <w:t>s</w:t>
      </w:r>
      <w:r w:rsidRPr="00DC41C4">
        <w:rPr>
          <w:rFonts w:eastAsiaTheme="minorHAnsi"/>
          <w:spacing w:val="2"/>
        </w:rPr>
        <w:t xml:space="preserve"> potential areas for future research.</w:t>
      </w:r>
    </w:p>
    <w:p w14:paraId="68881CCA" w14:textId="77777777" w:rsidR="0079376A" w:rsidRPr="0054344B" w:rsidRDefault="0079376A" w:rsidP="00BF0E75">
      <w:pPr>
        <w:pStyle w:val="Heading1"/>
      </w:pPr>
      <w:r w:rsidRPr="0054344B">
        <w:lastRenderedPageBreak/>
        <w:t xml:space="preserve">Theoretical Literature Review </w:t>
      </w:r>
    </w:p>
    <w:p w14:paraId="55CC5C65" w14:textId="1E460EF9" w:rsidR="0079376A" w:rsidRPr="00BF0E75" w:rsidRDefault="0079376A" w:rsidP="00BF0E75">
      <w:pPr>
        <w:pStyle w:val="Heading2"/>
      </w:pPr>
      <w:r w:rsidRPr="00BF0E75">
        <w:t>2.1</w:t>
      </w:r>
      <w:r w:rsidR="00BF0E75">
        <w:tab/>
      </w:r>
      <w:r w:rsidRPr="00BF0E75">
        <w:t>The principal-agent conflict and agency theory</w:t>
      </w:r>
    </w:p>
    <w:p w14:paraId="7FE57A9D" w14:textId="77777777" w:rsidR="0079376A" w:rsidRPr="0054344B" w:rsidRDefault="0079376A" w:rsidP="00BF0E75">
      <w:pPr>
        <w:pStyle w:val="PSLeipis"/>
        <w:rPr>
          <w:rFonts w:eastAsia="MS Mincho"/>
        </w:rPr>
      </w:pPr>
      <w:r w:rsidRPr="0054344B">
        <w:t>Agency theory is defined as “one in which one or more persons (the principal(s)) engage another person (the agent) to perform some service on their behalf which involves delegating some decision-making authority to the agent” (</w:t>
      </w:r>
      <w:r w:rsidRPr="0054344B">
        <w:rPr>
          <w:rFonts w:eastAsia="MS Mincho"/>
        </w:rPr>
        <w:t xml:space="preserve">Jensen and </w:t>
      </w:r>
      <w:proofErr w:type="spellStart"/>
      <w:r w:rsidRPr="0054344B">
        <w:rPr>
          <w:rFonts w:eastAsia="MS Mincho"/>
        </w:rPr>
        <w:t>Meckling</w:t>
      </w:r>
      <w:proofErr w:type="spellEnd"/>
      <w:r w:rsidRPr="0054344B">
        <w:rPr>
          <w:rFonts w:eastAsia="MS Mincho"/>
        </w:rPr>
        <w:t>, 1976).</w:t>
      </w:r>
    </w:p>
    <w:p w14:paraId="219DDA37" w14:textId="77777777" w:rsidR="0079376A" w:rsidRPr="0054344B" w:rsidRDefault="0079376A" w:rsidP="00BF0E75">
      <w:pPr>
        <w:pStyle w:val="PSLeipis"/>
      </w:pPr>
      <w:r w:rsidRPr="0054344B">
        <w:t>The relationship between the principal and the agent possesses two major interdependent problem</w:t>
      </w:r>
      <w:r w:rsidR="00254270" w:rsidRPr="0054344B">
        <w:t>s. The first is the problem of</w:t>
      </w:r>
      <w:r w:rsidRPr="0054344B">
        <w:t xml:space="preserve"> information asymmetry between the principal and the agent. The second is the possibility of conflicts or </w:t>
      </w:r>
      <w:r w:rsidR="00337DD7" w:rsidRPr="0054344B">
        <w:t xml:space="preserve">a </w:t>
      </w:r>
      <w:r w:rsidRPr="0054344B">
        <w:t>divergence of interest between the principal and the agent (Hill and Jones, 1992). In terms of divergence of interest, the agent does not necessarily make decisions in the best interest</w:t>
      </w:r>
      <w:r w:rsidR="00254270" w:rsidRPr="0054344B">
        <w:t>s</w:t>
      </w:r>
      <w:r w:rsidRPr="0054344B">
        <w:t xml:space="preserve"> of the principal. The agent (manager) </w:t>
      </w:r>
      <w:r w:rsidR="00254270" w:rsidRPr="0054344B">
        <w:t>may prefer</w:t>
      </w:r>
      <w:r w:rsidRPr="0054344B">
        <w:t xml:space="preserve"> to purs</w:t>
      </w:r>
      <w:r w:rsidR="001138A5" w:rsidRPr="0054344B">
        <w:t>u</w:t>
      </w:r>
      <w:r w:rsidRPr="0054344B">
        <w:t>e their own personal objectives instead of the primary objective of wealth maximisation for shareholders (</w:t>
      </w:r>
      <w:proofErr w:type="spellStart"/>
      <w:r w:rsidRPr="0054344B">
        <w:t>Huse</w:t>
      </w:r>
      <w:proofErr w:type="spellEnd"/>
      <w:r w:rsidRPr="0054344B">
        <w:t xml:space="preserve">, 2007; </w:t>
      </w:r>
      <w:proofErr w:type="spellStart"/>
      <w:r w:rsidRPr="0054344B">
        <w:t>Eisenhardt</w:t>
      </w:r>
      <w:proofErr w:type="spellEnd"/>
      <w:r w:rsidRPr="0054344B">
        <w:t>, 1989;</w:t>
      </w:r>
      <w:r w:rsidRPr="0054344B">
        <w:rPr>
          <w:rFonts w:eastAsia="MS Mincho"/>
        </w:rPr>
        <w:t xml:space="preserve"> </w:t>
      </w:r>
      <w:proofErr w:type="spellStart"/>
      <w:r w:rsidRPr="0054344B">
        <w:rPr>
          <w:rFonts w:eastAsia="MS Mincho"/>
        </w:rPr>
        <w:t>Berle</w:t>
      </w:r>
      <w:proofErr w:type="spellEnd"/>
      <w:r w:rsidRPr="0054344B">
        <w:rPr>
          <w:rFonts w:eastAsia="MS Mincho"/>
        </w:rPr>
        <w:t xml:space="preserve"> and Means 1932</w:t>
      </w:r>
      <w:r w:rsidRPr="0054344B">
        <w:t>).</w:t>
      </w:r>
    </w:p>
    <w:p w14:paraId="3FC92927" w14:textId="77777777" w:rsidR="0079376A" w:rsidRPr="0054344B" w:rsidRDefault="0079376A" w:rsidP="00BF0E75">
      <w:pPr>
        <w:pStyle w:val="PSLeipis"/>
      </w:pPr>
      <w:r w:rsidRPr="0054344B">
        <w:t xml:space="preserve">The </w:t>
      </w:r>
      <w:r w:rsidR="0000132B" w:rsidRPr="0054344B">
        <w:t>formation of an AC by the board of directors is designed to overcome agency problems and helps</w:t>
      </w:r>
      <w:r w:rsidR="00513840" w:rsidRPr="0054344B">
        <w:t xml:space="preserve"> enhance the firm</w:t>
      </w:r>
      <w:r w:rsidR="00254270" w:rsidRPr="0054344B">
        <w:t>’s</w:t>
      </w:r>
      <w:r w:rsidRPr="0054344B">
        <w:t xml:space="preserve"> </w:t>
      </w:r>
      <w:r w:rsidRPr="0054344B">
        <w:rPr>
          <w:rFonts w:eastAsia="MS Mincho"/>
        </w:rPr>
        <w:t>monitoring and</w:t>
      </w:r>
      <w:r w:rsidRPr="0054344B">
        <w:t xml:space="preserve"> effectiveness.</w:t>
      </w:r>
      <w:r w:rsidRPr="0054344B">
        <w:rPr>
          <w:rFonts w:eastAsia="MS Mincho"/>
        </w:rPr>
        <w:t xml:space="preserve"> However, </w:t>
      </w:r>
      <w:r w:rsidR="00254270" w:rsidRPr="0054344B">
        <w:rPr>
          <w:rFonts w:eastAsia="MS Mincho"/>
        </w:rPr>
        <w:t xml:space="preserve">a </w:t>
      </w:r>
      <w:r w:rsidRPr="0054344B">
        <w:rPr>
          <w:rFonts w:eastAsia="MS Mincho"/>
        </w:rPr>
        <w:t xml:space="preserve">recent study by </w:t>
      </w:r>
      <w:proofErr w:type="spellStart"/>
      <w:r w:rsidRPr="0054344B">
        <w:rPr>
          <w:rFonts w:eastAsia="MS Mincho"/>
        </w:rPr>
        <w:t>Khosa</w:t>
      </w:r>
      <w:proofErr w:type="spellEnd"/>
      <w:r w:rsidRPr="0054344B">
        <w:rPr>
          <w:rFonts w:eastAsia="MS Mincho"/>
        </w:rPr>
        <w:t xml:space="preserve"> (2017) indicate</w:t>
      </w:r>
      <w:r w:rsidR="00254270" w:rsidRPr="0054344B">
        <w:rPr>
          <w:rFonts w:eastAsia="MS Mincho"/>
        </w:rPr>
        <w:t>s</w:t>
      </w:r>
      <w:r w:rsidRPr="0054344B">
        <w:rPr>
          <w:rFonts w:eastAsia="MS Mincho"/>
        </w:rPr>
        <w:t xml:space="preserve"> that the presence of </w:t>
      </w:r>
      <w:r w:rsidR="00E576D4" w:rsidRPr="0054344B">
        <w:rPr>
          <w:rFonts w:eastAsia="MS Mincho"/>
        </w:rPr>
        <w:t>an AC</w:t>
      </w:r>
      <w:r w:rsidR="00513840" w:rsidRPr="0054344B">
        <w:rPr>
          <w:rFonts w:eastAsia="MS Mincho"/>
        </w:rPr>
        <w:t xml:space="preserve"> </w:t>
      </w:r>
      <w:r w:rsidR="00254270" w:rsidRPr="0054344B">
        <w:rPr>
          <w:lang w:val="en-US"/>
        </w:rPr>
        <w:t>can mitigate</w:t>
      </w:r>
      <w:r w:rsidRPr="0054344B">
        <w:rPr>
          <w:lang w:val="en-US"/>
        </w:rPr>
        <w:t xml:space="preserve"> the agency costs between managers and shareholders.</w:t>
      </w:r>
      <w:r w:rsidRPr="0054344B">
        <w:t xml:space="preserve"> Also</w:t>
      </w:r>
      <w:r w:rsidR="00254270" w:rsidRPr="0054344B">
        <w:t xml:space="preserve">, the </w:t>
      </w:r>
      <w:r w:rsidRPr="0054344B">
        <w:rPr>
          <w:rFonts w:eastAsia="MS Mincho"/>
        </w:rPr>
        <w:t xml:space="preserve">establishment of an </w:t>
      </w:r>
      <w:r w:rsidRPr="0054344B">
        <w:rPr>
          <w:color w:val="000000"/>
        </w:rPr>
        <w:t>AC</w:t>
      </w:r>
      <w:r w:rsidRPr="0054344B">
        <w:rPr>
          <w:rFonts w:eastAsia="MS Mincho"/>
        </w:rPr>
        <w:t xml:space="preserve"> help</w:t>
      </w:r>
      <w:r w:rsidR="001138A5" w:rsidRPr="0054344B">
        <w:rPr>
          <w:rFonts w:eastAsia="MS Mincho"/>
        </w:rPr>
        <w:t>s to</w:t>
      </w:r>
      <w:r w:rsidRPr="0054344B">
        <w:rPr>
          <w:rFonts w:eastAsia="MS Mincho"/>
        </w:rPr>
        <w:t xml:space="preserve"> align the interests of management with those of the shareholders (Hillman and Dalziel</w:t>
      </w:r>
      <w:r w:rsidR="00513840" w:rsidRPr="0054344B">
        <w:rPr>
          <w:rFonts w:eastAsia="MS Mincho"/>
        </w:rPr>
        <w:t>,</w:t>
      </w:r>
      <w:r w:rsidRPr="0054344B">
        <w:rPr>
          <w:rFonts w:eastAsia="MS Mincho"/>
        </w:rPr>
        <w:t xml:space="preserve"> 2003).</w:t>
      </w:r>
      <w:r w:rsidR="00254270" w:rsidRPr="0054344B">
        <w:t xml:space="preserve"> The establishment of an</w:t>
      </w:r>
      <w:r w:rsidRPr="0054344B">
        <w:t xml:space="preserve"> </w:t>
      </w:r>
      <w:r w:rsidRPr="0054344B">
        <w:rPr>
          <w:color w:val="000000"/>
        </w:rPr>
        <w:t>AC</w:t>
      </w:r>
      <w:r w:rsidRPr="0054344B">
        <w:t xml:space="preserve"> as part of best corporate governance practice help</w:t>
      </w:r>
      <w:r w:rsidR="001138A5" w:rsidRPr="0054344B">
        <w:t>s to</w:t>
      </w:r>
      <w:r w:rsidRPr="0054344B">
        <w:t xml:space="preserve"> reduce agency costs and information asymmetry by ensuring that </w:t>
      </w:r>
      <w:r w:rsidR="00254270" w:rsidRPr="0054344B">
        <w:t>a firm’s</w:t>
      </w:r>
      <w:r w:rsidRPr="0054344B">
        <w:t xml:space="preserve"> activities are conducted in line with the expectations</w:t>
      </w:r>
      <w:r w:rsidR="00E576D4" w:rsidRPr="0054344B">
        <w:t xml:space="preserve"> of the principal and the agent</w:t>
      </w:r>
      <w:r w:rsidRPr="0054344B">
        <w:t xml:space="preserve">. </w:t>
      </w:r>
    </w:p>
    <w:p w14:paraId="6421346D" w14:textId="2F3DE41A" w:rsidR="0079376A" w:rsidRPr="0054344B" w:rsidRDefault="0079376A" w:rsidP="00BF0E75">
      <w:pPr>
        <w:pStyle w:val="Heading2"/>
      </w:pPr>
      <w:r w:rsidRPr="0054344B">
        <w:t xml:space="preserve">2.2 </w:t>
      </w:r>
      <w:r w:rsidR="00BF0E75">
        <w:tab/>
      </w:r>
      <w:r w:rsidRPr="0054344B">
        <w:t>The financial crisis – a brief background</w:t>
      </w:r>
    </w:p>
    <w:p w14:paraId="39AE4443" w14:textId="77777777" w:rsidR="0079376A" w:rsidRPr="0054344B" w:rsidRDefault="0079376A" w:rsidP="00BF0E75">
      <w:pPr>
        <w:pStyle w:val="PSLeipis"/>
      </w:pPr>
      <w:r w:rsidRPr="0054344B">
        <w:t xml:space="preserve">As the third motivation of this research is to ascertain how these financial firms performed during the pre- and post-financial crisis periods when there was an </w:t>
      </w:r>
      <w:r w:rsidRPr="0054344B">
        <w:rPr>
          <w:color w:val="000000"/>
        </w:rPr>
        <w:t>AC</w:t>
      </w:r>
      <w:r w:rsidRPr="0054344B">
        <w:t xml:space="preserve"> in place, this section </w:t>
      </w:r>
      <w:r w:rsidR="00E576D4" w:rsidRPr="0054344B">
        <w:t xml:space="preserve">provides </w:t>
      </w:r>
      <w:r w:rsidRPr="0054344B">
        <w:t xml:space="preserve">a brief </w:t>
      </w:r>
      <w:r w:rsidR="00E576D4" w:rsidRPr="0054344B">
        <w:t xml:space="preserve">review </w:t>
      </w:r>
      <w:r w:rsidRPr="0054344B">
        <w:t>of the global financial crisis and its impact on firms.</w:t>
      </w:r>
    </w:p>
    <w:p w14:paraId="6D7D9135" w14:textId="77777777" w:rsidR="0079376A" w:rsidRPr="0054344B" w:rsidRDefault="0079376A" w:rsidP="00BF0E75">
      <w:pPr>
        <w:pStyle w:val="PSLeipis"/>
      </w:pPr>
      <w:r w:rsidRPr="0054344B">
        <w:t xml:space="preserve">The financial crisis in 2007/2008 started due to the collapse of the real estate market in the US, which spread to other countries including the United Kingdom. The crisis occurred when the subprime mortgages that were the first symptom of a credit boom </w:t>
      </w:r>
      <w:r w:rsidR="00337DD7" w:rsidRPr="0054344B">
        <w:t>began to result in bankruptcies</w:t>
      </w:r>
      <w:r w:rsidRPr="0054344B">
        <w:t xml:space="preserve"> (</w:t>
      </w:r>
      <w:proofErr w:type="spellStart"/>
      <w:r w:rsidRPr="0054344B">
        <w:t>Mizen</w:t>
      </w:r>
      <w:proofErr w:type="spellEnd"/>
      <w:r w:rsidRPr="0054344B">
        <w:t xml:space="preserve">, 2008). The banks and other </w:t>
      </w:r>
      <w:r w:rsidRPr="0054344B">
        <w:lastRenderedPageBreak/>
        <w:t>financial institutions were</w:t>
      </w:r>
      <w:r w:rsidR="00254270" w:rsidRPr="0054344B">
        <w:t xml:space="preserve"> also involved in producing </w:t>
      </w:r>
      <w:r w:rsidRPr="0054344B">
        <w:t>innovative products such as mortgage securitisation, derivative trading, and short and long sales that were</w:t>
      </w:r>
      <w:r w:rsidR="00254270" w:rsidRPr="0054344B">
        <w:t xml:space="preserve"> highly risky and contributed to</w:t>
      </w:r>
      <w:r w:rsidRPr="0054344B">
        <w:t xml:space="preserve"> the crisis.</w:t>
      </w:r>
    </w:p>
    <w:p w14:paraId="05389A6A" w14:textId="77777777" w:rsidR="00A50713" w:rsidRPr="0054344B" w:rsidRDefault="0079376A" w:rsidP="00BF0E75">
      <w:pPr>
        <w:pStyle w:val="PSLeipis"/>
      </w:pPr>
      <w:r w:rsidRPr="0054344B">
        <w:t>In the UK, the crisis led to the collapse of financial institutions and exposed weakness</w:t>
      </w:r>
      <w:r w:rsidR="00254270" w:rsidRPr="0054344B">
        <w:t>es</w:t>
      </w:r>
      <w:r w:rsidRPr="0054344B">
        <w:t xml:space="preserve"> in the</w:t>
      </w:r>
      <w:r w:rsidR="00E576D4" w:rsidRPr="0054344B">
        <w:t>m</w:t>
      </w:r>
      <w:r w:rsidRPr="0054344B">
        <w:t xml:space="preserve">. Banks such as Bradford &amp; Bingley, HBOS, Lloyds TSB, Northern Rock, the Royal Bank of Scotland and many others were affected. The UK government bailed out these institutions </w:t>
      </w:r>
      <w:r w:rsidR="00E576D4" w:rsidRPr="0054344B">
        <w:t xml:space="preserve">out of </w:t>
      </w:r>
      <w:r w:rsidRPr="0054344B">
        <w:t>their financial</w:t>
      </w:r>
      <w:r w:rsidR="00254270" w:rsidRPr="0054344B">
        <w:t xml:space="preserve"> difficulties because there were</w:t>
      </w:r>
      <w:r w:rsidRPr="0054344B">
        <w:t xml:space="preserve"> issues with their risk management approach which ultimately affected their firm value and reduced their cash flow</w:t>
      </w:r>
      <w:r w:rsidRPr="0054344B">
        <w:rPr>
          <w:lang w:val="en-US"/>
        </w:rPr>
        <w:t xml:space="preserve"> </w:t>
      </w:r>
      <w:r w:rsidR="00E576D4" w:rsidRPr="0054344B">
        <w:rPr>
          <w:lang w:val="en-US"/>
        </w:rPr>
        <w:t>(</w:t>
      </w:r>
      <w:r w:rsidRPr="0054344B">
        <w:rPr>
          <w:lang w:val="en-US"/>
        </w:rPr>
        <w:t xml:space="preserve">Krause and </w:t>
      </w:r>
      <w:proofErr w:type="spellStart"/>
      <w:r w:rsidRPr="0054344B">
        <w:rPr>
          <w:lang w:val="en-US"/>
        </w:rPr>
        <w:t>Tse</w:t>
      </w:r>
      <w:proofErr w:type="spellEnd"/>
      <w:r w:rsidR="00E576D4" w:rsidRPr="0054344B">
        <w:rPr>
          <w:lang w:val="en-US"/>
        </w:rPr>
        <w:t xml:space="preserve">, </w:t>
      </w:r>
      <w:r w:rsidRPr="0054344B">
        <w:rPr>
          <w:lang w:val="en-US"/>
        </w:rPr>
        <w:t>2016)</w:t>
      </w:r>
      <w:r w:rsidRPr="0054344B">
        <w:t xml:space="preserve">. </w:t>
      </w:r>
      <w:r w:rsidR="00A50713" w:rsidRPr="0054344B">
        <w:t xml:space="preserve">The government also increased borrowing and urged banks and other financial institutions to do the same. The interest rate was cut to 0.5% to make it easier to borrow. </w:t>
      </w:r>
    </w:p>
    <w:p w14:paraId="6788873B" w14:textId="28545375" w:rsidR="0079376A" w:rsidRPr="0054344B" w:rsidRDefault="0079376A" w:rsidP="00BF0E75">
      <w:pPr>
        <w:pStyle w:val="PSLeipis"/>
      </w:pPr>
      <w:r w:rsidRPr="0054344B">
        <w:t>The responsibility of the AC also covers risk management system</w:t>
      </w:r>
      <w:r w:rsidR="00254270" w:rsidRPr="0054344B">
        <w:t>s</w:t>
      </w:r>
      <w:r w:rsidRPr="0054344B">
        <w:t xml:space="preserve"> in</w:t>
      </w:r>
      <w:r w:rsidR="00254270" w:rsidRPr="0054344B">
        <w:t xml:space="preserve"> the firm. This means that a</w:t>
      </w:r>
      <w:r w:rsidRPr="0054344B">
        <w:t xml:space="preserve"> financial firm</w:t>
      </w:r>
      <w:r w:rsidR="00254270" w:rsidRPr="0054344B">
        <w:t>’</w:t>
      </w:r>
      <w:r w:rsidRPr="0054344B">
        <w:t>s performance during the pre</w:t>
      </w:r>
      <w:r w:rsidR="00BB4B2B" w:rsidRPr="0054344B">
        <w:t xml:space="preserve">- and </w:t>
      </w:r>
      <w:r w:rsidRPr="0054344B">
        <w:t>post</w:t>
      </w:r>
      <w:r w:rsidR="00BB4B2B" w:rsidRPr="0054344B">
        <w:t>-</w:t>
      </w:r>
      <w:r w:rsidRPr="0054344B">
        <w:t>crisis periods is important to AC board members</w:t>
      </w:r>
      <w:r w:rsidRPr="0054344B">
        <w:rPr>
          <w:rStyle w:val="FootnoteReference"/>
        </w:rPr>
        <w:footnoteReference w:id="3"/>
      </w:r>
      <w:r w:rsidRPr="0054344B">
        <w:t xml:space="preserve"> (HM Treasury Committee Report, 2009, FRC, 20</w:t>
      </w:r>
      <w:r w:rsidR="00254270" w:rsidRPr="0054344B">
        <w:t xml:space="preserve">16). The AC needs to plan </w:t>
      </w:r>
      <w:r w:rsidRPr="0054344B">
        <w:t xml:space="preserve">their audit strategy </w:t>
      </w:r>
      <w:r w:rsidRPr="0054344B">
        <w:rPr>
          <w:lang w:val="en-US"/>
        </w:rPr>
        <w:t>in order to reduce audit risk</w:t>
      </w:r>
      <w:r w:rsidR="00332F64" w:rsidRPr="0054344B">
        <w:rPr>
          <w:lang w:val="en-US"/>
        </w:rPr>
        <w:t xml:space="preserve"> level</w:t>
      </w:r>
      <w:r w:rsidRPr="0054344B">
        <w:t xml:space="preserve"> (</w:t>
      </w:r>
      <w:r w:rsidRPr="0054344B">
        <w:rPr>
          <w:lang w:val="en-US"/>
        </w:rPr>
        <w:t>Chong, 2015</w:t>
      </w:r>
      <w:r w:rsidRPr="0054344B">
        <w:rPr>
          <w:sz w:val="20"/>
          <w:szCs w:val="20"/>
          <w:lang w:val="en-US"/>
        </w:rPr>
        <w:t>).</w:t>
      </w:r>
      <w:bookmarkStart w:id="0" w:name="_Hlk485119126"/>
      <w:r w:rsidRPr="0054344B">
        <w:t xml:space="preserve"> </w:t>
      </w:r>
      <w:bookmarkEnd w:id="0"/>
      <w:r w:rsidRPr="0054344B">
        <w:t xml:space="preserve">The financial sector provides a major economic boost to the </w:t>
      </w:r>
      <w:r w:rsidR="00E576D4" w:rsidRPr="0054344B">
        <w:t xml:space="preserve">UK </w:t>
      </w:r>
      <w:r w:rsidRPr="0054344B">
        <w:t xml:space="preserve">as it </w:t>
      </w:r>
      <w:r w:rsidR="00E576D4" w:rsidRPr="0054344B">
        <w:t xml:space="preserve">provides </w:t>
      </w:r>
      <w:r w:rsidRPr="0054344B">
        <w:t>employment for people</w:t>
      </w:r>
      <w:r w:rsidR="002207A8" w:rsidRPr="0054344B">
        <w:t>, tax revenue to the government and</w:t>
      </w:r>
      <w:r w:rsidRPr="0054344B">
        <w:t xml:space="preserve"> foreign exchange to the economy by offering services such as banking, insurance, mortgages, asset management, currency trade and mutual fund i</w:t>
      </w:r>
      <w:r w:rsidR="00E868A5" w:rsidRPr="0054344B">
        <w:t>nvestment. The financial sector in UK</w:t>
      </w:r>
      <w:r w:rsidR="00337DD7" w:rsidRPr="0054344B">
        <w:t xml:space="preserve"> </w:t>
      </w:r>
      <w:r w:rsidRPr="0054344B">
        <w:t xml:space="preserve">is also the </w:t>
      </w:r>
      <w:r w:rsidR="00337DD7" w:rsidRPr="0054344B">
        <w:t xml:space="preserve">world’s </w:t>
      </w:r>
      <w:r w:rsidRPr="0054344B">
        <w:t xml:space="preserve">second biggest financial market after </w:t>
      </w:r>
      <w:r w:rsidR="00E576D4" w:rsidRPr="0054344B">
        <w:t xml:space="preserve">the USA </w:t>
      </w:r>
      <w:r w:rsidRPr="0054344B">
        <w:t>(BoE and HM Treasury, 2015; Mintah 2016).</w:t>
      </w:r>
    </w:p>
    <w:p w14:paraId="7EB03AD3" w14:textId="70F3A7AC" w:rsidR="0079376A" w:rsidRPr="0054344B" w:rsidRDefault="0079376A" w:rsidP="00BF0E75">
      <w:pPr>
        <w:pStyle w:val="Heading2"/>
      </w:pPr>
      <w:r w:rsidRPr="0054344B">
        <w:t xml:space="preserve">2.3 </w:t>
      </w:r>
      <w:r w:rsidR="00BF0E75">
        <w:tab/>
      </w:r>
      <w:r w:rsidRPr="0054344B">
        <w:t>Prior audit</w:t>
      </w:r>
      <w:r w:rsidR="002207A8" w:rsidRPr="0054344B">
        <w:t xml:space="preserve"> committee studies and </w:t>
      </w:r>
      <w:r w:rsidR="009F2AC7" w:rsidRPr="0054344B">
        <w:t>hypothese</w:t>
      </w:r>
      <w:r w:rsidRPr="0054344B">
        <w:t>s development</w:t>
      </w:r>
    </w:p>
    <w:p w14:paraId="49CDA192" w14:textId="77777777" w:rsidR="0079376A" w:rsidRPr="0054344B" w:rsidRDefault="0079376A" w:rsidP="00BF0E75">
      <w:pPr>
        <w:pStyle w:val="PSLeipis"/>
      </w:pPr>
      <w:r w:rsidRPr="0054344B">
        <w:t xml:space="preserve">Empirical research on </w:t>
      </w:r>
      <w:r w:rsidR="00337DD7" w:rsidRPr="0054344B">
        <w:t xml:space="preserve">ACs and </w:t>
      </w:r>
      <w:r w:rsidRPr="0054344B">
        <w:t xml:space="preserve">financial institutions is very rare, and none has been found </w:t>
      </w:r>
      <w:r w:rsidR="00E576D4" w:rsidRPr="0054344B">
        <w:t xml:space="preserve">on </w:t>
      </w:r>
      <w:r w:rsidRPr="0054344B">
        <w:t xml:space="preserve">this </w:t>
      </w:r>
      <w:r w:rsidR="00E576D4" w:rsidRPr="0054344B">
        <w:t xml:space="preserve">study’s </w:t>
      </w:r>
      <w:r w:rsidR="005136A1" w:rsidRPr="0054344B">
        <w:t>specific line of enquiry</w:t>
      </w:r>
      <w:r w:rsidR="009F2AC7" w:rsidRPr="0054344B">
        <w:t xml:space="preserve">. This makes research </w:t>
      </w:r>
      <w:r w:rsidR="00337DD7" w:rsidRPr="0054344B">
        <w:t>on AC</w:t>
      </w:r>
      <w:r w:rsidR="00E576D4" w:rsidRPr="0054344B">
        <w:t>s</w:t>
      </w:r>
      <w:r w:rsidR="00337DD7" w:rsidRPr="0054344B">
        <w:t xml:space="preserve"> </w:t>
      </w:r>
      <w:r w:rsidR="00E576D4" w:rsidRPr="0054344B">
        <w:t xml:space="preserve">and </w:t>
      </w:r>
      <w:r w:rsidRPr="0054344B">
        <w:t xml:space="preserve">UK financial institutions a </w:t>
      </w:r>
      <w:r w:rsidR="005136A1" w:rsidRPr="0054344B">
        <w:t xml:space="preserve">particularly worthwhile undertaking. </w:t>
      </w:r>
      <w:r w:rsidR="00E576D4" w:rsidRPr="0054344B">
        <w:t>Consequently</w:t>
      </w:r>
      <w:r w:rsidRPr="0054344B">
        <w:t xml:space="preserve">, empirical studies in support of this </w:t>
      </w:r>
      <w:r w:rsidR="00C87AFD" w:rsidRPr="0054344B">
        <w:t xml:space="preserve">paper </w:t>
      </w:r>
      <w:r w:rsidR="00337DD7" w:rsidRPr="0054344B">
        <w:t xml:space="preserve">are </w:t>
      </w:r>
      <w:r w:rsidRPr="0054344B">
        <w:t>based on broad</w:t>
      </w:r>
      <w:r w:rsidR="00E868A5" w:rsidRPr="0054344B">
        <w:t xml:space="preserve"> AC</w:t>
      </w:r>
      <w:r w:rsidRPr="0054344B">
        <w:t xml:space="preserve"> research and </w:t>
      </w:r>
      <w:r w:rsidR="00E576D4" w:rsidRPr="0054344B">
        <w:t xml:space="preserve">are </w:t>
      </w:r>
      <w:r w:rsidRPr="0054344B">
        <w:t>not spec</w:t>
      </w:r>
      <w:r w:rsidR="00E92F21" w:rsidRPr="0054344B">
        <w:t xml:space="preserve">ific to financial institutions. </w:t>
      </w:r>
      <w:r w:rsidRPr="0054344B">
        <w:t xml:space="preserve">For example, research by Wild (1994) indicates that firms see a significant increase in their financial performance when they put an </w:t>
      </w:r>
      <w:r w:rsidR="00E868A5" w:rsidRPr="0054344B">
        <w:t xml:space="preserve">AC </w:t>
      </w:r>
      <w:r w:rsidRPr="0054344B">
        <w:t xml:space="preserve">in place. However, Menon and Williams (1994) suggest that the mere formation of an </w:t>
      </w:r>
      <w:r w:rsidRPr="0054344B">
        <w:rPr>
          <w:color w:val="000000"/>
        </w:rPr>
        <w:t>AC</w:t>
      </w:r>
      <w:r w:rsidRPr="0054344B">
        <w:t xml:space="preserve"> does not mean that </w:t>
      </w:r>
      <w:r w:rsidR="00E576D4" w:rsidRPr="0054344B">
        <w:t xml:space="preserve">a </w:t>
      </w:r>
      <w:r w:rsidRPr="0054344B">
        <w:t xml:space="preserve">board of directors can solely </w:t>
      </w:r>
      <w:r w:rsidR="00E576D4" w:rsidRPr="0054344B">
        <w:t xml:space="preserve">depend </w:t>
      </w:r>
      <w:r w:rsidRPr="0054344B">
        <w:t xml:space="preserve">on it to enhance </w:t>
      </w:r>
      <w:r w:rsidR="00E576D4" w:rsidRPr="0054344B">
        <w:t xml:space="preserve">the </w:t>
      </w:r>
      <w:r w:rsidRPr="0054344B">
        <w:t>monitoring of the</w:t>
      </w:r>
      <w:r w:rsidR="00E576D4" w:rsidRPr="0054344B">
        <w:t>ir</w:t>
      </w:r>
      <w:r w:rsidRPr="0054344B">
        <w:t xml:space="preserve"> firm and help increase </w:t>
      </w:r>
      <w:r w:rsidR="00E576D4" w:rsidRPr="0054344B">
        <w:t xml:space="preserve">its </w:t>
      </w:r>
      <w:r w:rsidRPr="0054344B">
        <w:t xml:space="preserve">financial performance.  Research conducted by </w:t>
      </w:r>
      <w:proofErr w:type="spellStart"/>
      <w:r w:rsidRPr="0054344B">
        <w:t>Conyon</w:t>
      </w:r>
      <w:proofErr w:type="spellEnd"/>
      <w:r w:rsidRPr="0054344B">
        <w:t xml:space="preserve"> (1994) indicated that 90% of large</w:t>
      </w:r>
      <w:r w:rsidR="00E576D4" w:rsidRPr="0054344B">
        <w:t>,</w:t>
      </w:r>
      <w:r w:rsidRPr="0054344B">
        <w:t xml:space="preserve"> UK</w:t>
      </w:r>
      <w:r w:rsidR="00E576D4" w:rsidRPr="0054344B">
        <w:t>-</w:t>
      </w:r>
      <w:r w:rsidRPr="0054344B">
        <w:t>quoted firms had an</w:t>
      </w:r>
      <w:r w:rsidRPr="0054344B">
        <w:rPr>
          <w:color w:val="000000"/>
        </w:rPr>
        <w:t xml:space="preserve"> AC</w:t>
      </w:r>
      <w:r w:rsidRPr="0054344B">
        <w:t xml:space="preserve"> in place in 1993. </w:t>
      </w:r>
      <w:r w:rsidRPr="0054344B">
        <w:lastRenderedPageBreak/>
        <w:t xml:space="preserve">Supporting </w:t>
      </w:r>
      <w:proofErr w:type="spellStart"/>
      <w:r w:rsidRPr="0054344B">
        <w:t>Conyon’s</w:t>
      </w:r>
      <w:proofErr w:type="spellEnd"/>
      <w:r w:rsidRPr="0054344B">
        <w:t xml:space="preserve"> (1994) research is a study by</w:t>
      </w:r>
      <w:r w:rsidR="005136A1" w:rsidRPr="0054344B">
        <w:t xml:space="preserve"> Collier (1993) which</w:t>
      </w:r>
      <w:r w:rsidRPr="0054344B">
        <w:t xml:space="preserve"> analysed </w:t>
      </w:r>
      <w:r w:rsidRPr="0054344B">
        <w:rPr>
          <w:color w:val="000000"/>
        </w:rPr>
        <w:t>AC</w:t>
      </w:r>
      <w:r w:rsidRPr="0054344B">
        <w:t xml:space="preserve"> adoption for 142 UK firms and stated that their adoption of an </w:t>
      </w:r>
      <w:r w:rsidRPr="0054344B">
        <w:rPr>
          <w:color w:val="000000"/>
        </w:rPr>
        <w:t>AC</w:t>
      </w:r>
      <w:r w:rsidRPr="0054344B">
        <w:t xml:space="preserve"> was in line with their agency cost of equity, debt and information asymmetry.</w:t>
      </w:r>
    </w:p>
    <w:p w14:paraId="70BC2DAF" w14:textId="77777777" w:rsidR="0079376A" w:rsidRPr="0054344B" w:rsidRDefault="0079376A" w:rsidP="00BF0E75">
      <w:pPr>
        <w:pStyle w:val="PSLeipis"/>
      </w:pPr>
      <w:proofErr w:type="spellStart"/>
      <w:r w:rsidRPr="0054344B">
        <w:t>Carcello</w:t>
      </w:r>
      <w:proofErr w:type="spellEnd"/>
      <w:r w:rsidRPr="0054344B">
        <w:t xml:space="preserve"> et al. (2002) examined board characteristics and audit fees and found that board independence and audit fees are positively c</w:t>
      </w:r>
      <w:r w:rsidR="005136A1" w:rsidRPr="0054344B">
        <w:t xml:space="preserve">orrelated. They argued that an </w:t>
      </w:r>
      <w:r w:rsidRPr="0054344B">
        <w:t>independent</w:t>
      </w:r>
      <w:r w:rsidRPr="0054344B">
        <w:rPr>
          <w:color w:val="000000"/>
        </w:rPr>
        <w:t xml:space="preserve"> AC</w:t>
      </w:r>
      <w:r w:rsidRPr="0054344B">
        <w:t xml:space="preserve"> dem</w:t>
      </w:r>
      <w:r w:rsidR="005136A1" w:rsidRPr="0054344B">
        <w:t xml:space="preserve">ands higher audit quality than </w:t>
      </w:r>
      <w:r w:rsidRPr="0054344B">
        <w:t xml:space="preserve">normal standards, even </w:t>
      </w:r>
      <w:r w:rsidR="005136A1" w:rsidRPr="0054344B">
        <w:t xml:space="preserve">higher </w:t>
      </w:r>
      <w:r w:rsidRPr="0054344B">
        <w:t xml:space="preserve">than external auditors charging higher fees. In similar studies, </w:t>
      </w:r>
      <w:proofErr w:type="spellStart"/>
      <w:r w:rsidRPr="0054344B">
        <w:t>Carcello</w:t>
      </w:r>
      <w:proofErr w:type="spellEnd"/>
      <w:r w:rsidRPr="0054344B">
        <w:t xml:space="preserve"> and Neal (2003) and </w:t>
      </w:r>
      <w:proofErr w:type="spellStart"/>
      <w:r w:rsidRPr="0054344B">
        <w:t>Felo</w:t>
      </w:r>
      <w:proofErr w:type="spellEnd"/>
      <w:r w:rsidRPr="0054344B">
        <w:t xml:space="preserve"> et al. (2003) documented a positive relation between </w:t>
      </w:r>
      <w:r w:rsidRPr="0054344B">
        <w:rPr>
          <w:color w:val="000000"/>
        </w:rPr>
        <w:t>AC</w:t>
      </w:r>
      <w:r w:rsidR="005136A1" w:rsidRPr="0054344B">
        <w:t xml:space="preserve"> independence</w:t>
      </w:r>
      <w:r w:rsidRPr="0054344B">
        <w:t xml:space="preserve"> and financial reporting quality.</w:t>
      </w:r>
    </w:p>
    <w:p w14:paraId="7E3195FF" w14:textId="77777777" w:rsidR="0079376A" w:rsidRPr="0054344B" w:rsidRDefault="0079376A" w:rsidP="00BF0E75">
      <w:pPr>
        <w:pStyle w:val="PSLeipis"/>
      </w:pPr>
      <w:r w:rsidRPr="0054344B">
        <w:t xml:space="preserve">Van der Zahn and Tower (2004) studied the relationship between </w:t>
      </w:r>
      <w:r w:rsidRPr="0054344B">
        <w:rPr>
          <w:color w:val="000000"/>
        </w:rPr>
        <w:t>AC</w:t>
      </w:r>
      <w:r w:rsidRPr="0054344B">
        <w:t xml:space="preserve"> and earnings management using a sample of 485 firms from Singapore between 2000 and 2001. Their findings indicate that </w:t>
      </w:r>
      <w:r w:rsidRPr="0054344B">
        <w:rPr>
          <w:color w:val="000000"/>
        </w:rPr>
        <w:t>AC</w:t>
      </w:r>
      <w:r w:rsidRPr="0054344B">
        <w:t xml:space="preserve"> members </w:t>
      </w:r>
      <w:r w:rsidR="00B7097E" w:rsidRPr="0054344B">
        <w:t xml:space="preserve">who have greater independence </w:t>
      </w:r>
      <w:r w:rsidRPr="0054344B">
        <w:t>are more eff</w:t>
      </w:r>
      <w:r w:rsidR="00170ADB" w:rsidRPr="0054344B">
        <w:t>ective and diligent</w:t>
      </w:r>
      <w:r w:rsidRPr="0054344B">
        <w:t>. Research by Choi et al. (2004) found that larger</w:t>
      </w:r>
      <w:r w:rsidRPr="0054344B">
        <w:rPr>
          <w:color w:val="000000"/>
        </w:rPr>
        <w:t xml:space="preserve"> ACs</w:t>
      </w:r>
      <w:r w:rsidRPr="0054344B">
        <w:t xml:space="preserve"> are effective and include members with varied professional expertise to perform and monitor financial reporting practices. This outcome is in line with the Financial Reporting Council (2016) provision on the adoption of</w:t>
      </w:r>
      <w:r w:rsidRPr="0054344B">
        <w:rPr>
          <w:color w:val="000000"/>
        </w:rPr>
        <w:t xml:space="preserve"> AC</w:t>
      </w:r>
      <w:r w:rsidRPr="0054344B">
        <w:t xml:space="preserve"> by firms. In a similar line of enquiry, </w:t>
      </w:r>
      <w:proofErr w:type="spellStart"/>
      <w:r w:rsidRPr="0054344B">
        <w:t>Karama</w:t>
      </w:r>
      <w:r w:rsidR="00170ADB" w:rsidRPr="0054344B">
        <w:t>nou</w:t>
      </w:r>
      <w:proofErr w:type="spellEnd"/>
      <w:r w:rsidR="00170ADB" w:rsidRPr="0054344B">
        <w:t xml:space="preserve"> and </w:t>
      </w:r>
      <w:proofErr w:type="spellStart"/>
      <w:r w:rsidR="00170ADB" w:rsidRPr="0054344B">
        <w:t>Vafeas</w:t>
      </w:r>
      <w:proofErr w:type="spellEnd"/>
      <w:r w:rsidR="00170ADB" w:rsidRPr="0054344B">
        <w:t xml:space="preserve"> (2005) found </w:t>
      </w:r>
      <w:r w:rsidRPr="0054344B">
        <w:t>that managers in firms with effective board and</w:t>
      </w:r>
      <w:r w:rsidRPr="0054344B">
        <w:rPr>
          <w:color w:val="000000"/>
        </w:rPr>
        <w:t xml:space="preserve"> AC</w:t>
      </w:r>
      <w:r w:rsidRPr="0054344B">
        <w:t xml:space="preserve"> structures are likely to make a precise and accurate forecast which is more favourable to market response</w:t>
      </w:r>
      <w:r w:rsidR="00C23F06" w:rsidRPr="0054344B">
        <w:t>s</w:t>
      </w:r>
      <w:r w:rsidRPr="0054344B">
        <w:t xml:space="preserve">. This empirical research shows that a good </w:t>
      </w:r>
      <w:r w:rsidRPr="0054344B">
        <w:rPr>
          <w:color w:val="000000"/>
        </w:rPr>
        <w:t>AC</w:t>
      </w:r>
      <w:r w:rsidRPr="0054344B">
        <w:t xml:space="preserve"> is linked to better financial disclosure quality. The reason fo</w:t>
      </w:r>
      <w:r w:rsidR="00170ADB" w:rsidRPr="0054344B">
        <w:t>r this is that the AC can</w:t>
      </w:r>
      <w:r w:rsidRPr="0054344B">
        <w:t xml:space="preserve"> scrutinise financial information thoroughly and ensure it is free from errors. </w:t>
      </w:r>
    </w:p>
    <w:p w14:paraId="4F54488E" w14:textId="77777777" w:rsidR="0079376A" w:rsidRPr="0054344B" w:rsidRDefault="0079376A" w:rsidP="00BF0E75">
      <w:pPr>
        <w:pStyle w:val="PSLeipis"/>
      </w:pPr>
      <w:r w:rsidRPr="0054344B">
        <w:t xml:space="preserve">Furthermore, </w:t>
      </w:r>
      <w:proofErr w:type="spellStart"/>
      <w:r w:rsidRPr="0054344B">
        <w:t>Defond</w:t>
      </w:r>
      <w:proofErr w:type="spellEnd"/>
      <w:r w:rsidRPr="0054344B">
        <w:t xml:space="preserve"> et al. (2005) observed that the announcement of 850 newly appointed outside directors to</w:t>
      </w:r>
      <w:r w:rsidRPr="0054344B">
        <w:rPr>
          <w:color w:val="000000"/>
        </w:rPr>
        <w:t xml:space="preserve"> AC</w:t>
      </w:r>
      <w:r w:rsidR="00C23F06" w:rsidRPr="0054344B">
        <w:rPr>
          <w:color w:val="000000"/>
        </w:rPr>
        <w:t>s</w:t>
      </w:r>
      <w:r w:rsidRPr="0054344B">
        <w:t xml:space="preserve"> between 1993 and 2002 showed a significant, positive</w:t>
      </w:r>
      <w:r w:rsidR="00C23F06" w:rsidRPr="0054344B">
        <w:t xml:space="preserve"> and</w:t>
      </w:r>
      <w:r w:rsidR="009215A7" w:rsidRPr="0054344B">
        <w:t xml:space="preserve"> exceptional</w:t>
      </w:r>
      <w:r w:rsidRPr="0054344B">
        <w:t xml:space="preserve"> retu</w:t>
      </w:r>
      <w:r w:rsidR="00170ADB" w:rsidRPr="0054344B">
        <w:t>rn for</w:t>
      </w:r>
      <w:r w:rsidRPr="0054344B">
        <w:t xml:space="preserve"> the companies. </w:t>
      </w:r>
      <w:proofErr w:type="spellStart"/>
      <w:r w:rsidRPr="0054344B">
        <w:t>Zha</w:t>
      </w:r>
      <w:proofErr w:type="spellEnd"/>
      <w:r w:rsidRPr="0054344B">
        <w:t xml:space="preserve"> (2006) used a sample of firms from 2002 to 2004, immediately after the release of the Code of Conduct by the Chinese Securities Regulatory Commission (CSRC)</w:t>
      </w:r>
      <w:r w:rsidR="00C23F06" w:rsidRPr="0054344B">
        <w:t xml:space="preserve"> and found</w:t>
      </w:r>
      <w:r w:rsidRPr="0054344B">
        <w:t xml:space="preserve"> that firms with an </w:t>
      </w:r>
      <w:r w:rsidRPr="0054344B">
        <w:rPr>
          <w:color w:val="000000"/>
        </w:rPr>
        <w:t>AC</w:t>
      </w:r>
      <w:r w:rsidRPr="0054344B">
        <w:t xml:space="preserve"> in place have the propensity to increase their financial performance.</w:t>
      </w:r>
    </w:p>
    <w:p w14:paraId="6F703F3B" w14:textId="77777777" w:rsidR="0079376A" w:rsidRPr="0054344B" w:rsidRDefault="0079376A" w:rsidP="00BF0E75">
      <w:pPr>
        <w:pStyle w:val="PSLeipis"/>
      </w:pPr>
      <w:r w:rsidRPr="0054344B">
        <w:t xml:space="preserve">According to </w:t>
      </w:r>
      <w:proofErr w:type="spellStart"/>
      <w:r w:rsidRPr="0054344B">
        <w:t>Munisi</w:t>
      </w:r>
      <w:proofErr w:type="spellEnd"/>
      <w:r w:rsidRPr="0054344B">
        <w:t xml:space="preserve"> and </w:t>
      </w:r>
      <w:proofErr w:type="spellStart"/>
      <w:r w:rsidRPr="0054344B">
        <w:t>Randøy</w:t>
      </w:r>
      <w:proofErr w:type="spellEnd"/>
      <w:r w:rsidRPr="0054344B">
        <w:t xml:space="preserve"> (2013), </w:t>
      </w:r>
      <w:r w:rsidR="00E4016F" w:rsidRPr="0054344B">
        <w:t>an</w:t>
      </w:r>
      <w:r w:rsidRPr="0054344B">
        <w:rPr>
          <w:color w:val="000000"/>
        </w:rPr>
        <w:t xml:space="preserve"> AC</w:t>
      </w:r>
      <w:r w:rsidRPr="0054344B">
        <w:t xml:space="preserve"> is positively and significantly associated with company performance. This result is based on publicly listed companies across Sub-Saharan African countries. This means that firms with </w:t>
      </w:r>
      <w:r w:rsidR="00C23F06" w:rsidRPr="0054344B">
        <w:t xml:space="preserve">an </w:t>
      </w:r>
      <w:r w:rsidRPr="0054344B">
        <w:rPr>
          <w:color w:val="000000"/>
        </w:rPr>
        <w:t>AC</w:t>
      </w:r>
      <w:r w:rsidRPr="0054344B">
        <w:t xml:space="preserve"> can expect to achieve higher performance. Chan and Li’s (2008) research reveals that the establishment of these committees (audit, nominating and compensation) </w:t>
      </w:r>
      <w:r w:rsidR="00CC162D" w:rsidRPr="0054344B">
        <w:t>have</w:t>
      </w:r>
      <w:r w:rsidR="00170ADB" w:rsidRPr="0054344B">
        <w:t xml:space="preserve"> a positive impact on </w:t>
      </w:r>
      <w:r w:rsidRPr="0054344B">
        <w:t xml:space="preserve">firm value since their knowledge and experience can be shared during board meetings. Also, the information given by </w:t>
      </w:r>
      <w:r w:rsidR="004C0818" w:rsidRPr="0054344B">
        <w:t>a</w:t>
      </w:r>
      <w:r w:rsidRPr="0054344B">
        <w:t xml:space="preserve"> committee can enhance </w:t>
      </w:r>
      <w:r w:rsidR="004C0818" w:rsidRPr="0054344B">
        <w:t xml:space="preserve">the </w:t>
      </w:r>
      <w:r w:rsidRPr="0054344B">
        <w:t xml:space="preserve">overall insight </w:t>
      </w:r>
      <w:r w:rsidR="004C0818" w:rsidRPr="0054344B">
        <w:t xml:space="preserve">of a board of directors </w:t>
      </w:r>
      <w:r w:rsidR="00170ADB" w:rsidRPr="0054344B">
        <w:t>in</w:t>
      </w:r>
      <w:r w:rsidRPr="0054344B">
        <w:t>to the</w:t>
      </w:r>
      <w:r w:rsidR="004C0818" w:rsidRPr="0054344B">
        <w:t>ir</w:t>
      </w:r>
      <w:r w:rsidRPr="0054344B">
        <w:t xml:space="preserve"> firm.</w:t>
      </w:r>
    </w:p>
    <w:p w14:paraId="4036BDDC" w14:textId="77777777" w:rsidR="0079376A" w:rsidRPr="0054344B" w:rsidRDefault="0079376A" w:rsidP="00BF0E75">
      <w:pPr>
        <w:pStyle w:val="PSLeipis"/>
      </w:pPr>
      <w:r w:rsidRPr="0054344B">
        <w:lastRenderedPageBreak/>
        <w:t xml:space="preserve">According to </w:t>
      </w:r>
      <w:proofErr w:type="spellStart"/>
      <w:r w:rsidRPr="0054344B">
        <w:t>Bruynseels</w:t>
      </w:r>
      <w:proofErr w:type="spellEnd"/>
      <w:r w:rsidRPr="0054344B">
        <w:t xml:space="preserve"> and </w:t>
      </w:r>
      <w:proofErr w:type="spellStart"/>
      <w:r w:rsidRPr="0054344B">
        <w:t>Cardinaels</w:t>
      </w:r>
      <w:proofErr w:type="spellEnd"/>
      <w:r w:rsidRPr="0054344B">
        <w:t xml:space="preserve"> (2014), </w:t>
      </w:r>
      <w:r w:rsidR="004C0818" w:rsidRPr="0054344B">
        <w:t>an</w:t>
      </w:r>
      <w:r w:rsidR="004C0818" w:rsidRPr="0054344B">
        <w:rPr>
          <w:color w:val="000000"/>
        </w:rPr>
        <w:t xml:space="preserve"> </w:t>
      </w:r>
      <w:r w:rsidRPr="0054344B">
        <w:rPr>
          <w:color w:val="000000"/>
        </w:rPr>
        <w:t>AC</w:t>
      </w:r>
      <w:r w:rsidRPr="0054344B">
        <w:t xml:space="preserve"> provides oversight </w:t>
      </w:r>
      <w:r w:rsidR="00C23F06" w:rsidRPr="0054344B">
        <w:t xml:space="preserve">regarding </w:t>
      </w:r>
      <w:r w:rsidRPr="0054344B">
        <w:t>the auditing process and ensures the quality of financial reporting to stakeholders. Their empirical result</w:t>
      </w:r>
      <w:r w:rsidR="00170ADB" w:rsidRPr="0054344B">
        <w:t>s show</w:t>
      </w:r>
      <w:r w:rsidRPr="0054344B">
        <w:t xml:space="preserve"> that audit committee activities are positively associated with </w:t>
      </w:r>
      <w:r w:rsidR="00C23F06" w:rsidRPr="0054344B">
        <w:t xml:space="preserve">a </w:t>
      </w:r>
      <w:r w:rsidRPr="0054344B">
        <w:t xml:space="preserve">firm’s total accruals. </w:t>
      </w:r>
      <w:r w:rsidRPr="0054344B">
        <w:rPr>
          <w:lang w:val="en-US"/>
        </w:rPr>
        <w:t xml:space="preserve">Karim et al. (2013) </w:t>
      </w:r>
      <w:r w:rsidR="00170ADB" w:rsidRPr="0054344B">
        <w:rPr>
          <w:lang w:val="en-US"/>
        </w:rPr>
        <w:t xml:space="preserve">carried out </w:t>
      </w:r>
      <w:r w:rsidR="00CC162D" w:rsidRPr="0054344B">
        <w:rPr>
          <w:lang w:val="en-US"/>
        </w:rPr>
        <w:t xml:space="preserve">a </w:t>
      </w:r>
      <w:r w:rsidR="00170ADB" w:rsidRPr="0054344B">
        <w:rPr>
          <w:lang w:val="en-US"/>
        </w:rPr>
        <w:t>research in Bangladesh</w:t>
      </w:r>
      <w:r w:rsidRPr="0054344B">
        <w:rPr>
          <w:lang w:val="en-US"/>
        </w:rPr>
        <w:t xml:space="preserve"> using a sample of 129 IPOs companies over the 17-year period from 1990 to 2006</w:t>
      </w:r>
      <w:r w:rsidR="00170ADB" w:rsidRPr="0054344B">
        <w:rPr>
          <w:lang w:val="en-US"/>
        </w:rPr>
        <w:t>; this work</w:t>
      </w:r>
      <w:r w:rsidRPr="0054344B">
        <w:rPr>
          <w:lang w:val="en-US"/>
        </w:rPr>
        <w:t xml:space="preserve"> indicate</w:t>
      </w:r>
      <w:r w:rsidR="00170ADB" w:rsidRPr="0054344B">
        <w:rPr>
          <w:lang w:val="en-US"/>
        </w:rPr>
        <w:t>d</w:t>
      </w:r>
      <w:r w:rsidRPr="0054344B">
        <w:rPr>
          <w:lang w:val="en-US"/>
        </w:rPr>
        <w:t xml:space="preserve"> that high audit quality can influence </w:t>
      </w:r>
      <w:r w:rsidR="004C0818" w:rsidRPr="0054344B">
        <w:rPr>
          <w:lang w:val="en-US"/>
        </w:rPr>
        <w:t xml:space="preserve">a </w:t>
      </w:r>
      <w:r w:rsidRPr="0054344B">
        <w:rPr>
          <w:lang w:val="en-US"/>
        </w:rPr>
        <w:t>firm</w:t>
      </w:r>
      <w:r w:rsidR="00170ADB" w:rsidRPr="0054344B">
        <w:rPr>
          <w:lang w:val="en-US"/>
        </w:rPr>
        <w:t>’</w:t>
      </w:r>
      <w:r w:rsidRPr="0054344B">
        <w:rPr>
          <w:lang w:val="en-US"/>
        </w:rPr>
        <w:t xml:space="preserve">s accounting information delivery and can have </w:t>
      </w:r>
      <w:r w:rsidR="00170ADB" w:rsidRPr="0054344B">
        <w:rPr>
          <w:lang w:val="en-US"/>
        </w:rPr>
        <w:t>a significant</w:t>
      </w:r>
      <w:r w:rsidR="004C0818" w:rsidRPr="0054344B">
        <w:rPr>
          <w:lang w:val="en-US"/>
        </w:rPr>
        <w:t>ly</w:t>
      </w:r>
      <w:r w:rsidR="00170ADB" w:rsidRPr="0054344B">
        <w:rPr>
          <w:lang w:val="en-US"/>
        </w:rPr>
        <w:t xml:space="preserve"> positive impact on</w:t>
      </w:r>
      <w:r w:rsidRPr="0054344B">
        <w:rPr>
          <w:lang w:val="en-US"/>
        </w:rPr>
        <w:t xml:space="preserve"> </w:t>
      </w:r>
      <w:r w:rsidR="004C0818" w:rsidRPr="0054344B">
        <w:rPr>
          <w:lang w:val="en-US"/>
        </w:rPr>
        <w:t>it</w:t>
      </w:r>
      <w:r w:rsidRPr="0054344B">
        <w:rPr>
          <w:lang w:val="en-US"/>
        </w:rPr>
        <w:t>.</w:t>
      </w:r>
    </w:p>
    <w:p w14:paraId="0F1E6B7B" w14:textId="77777777" w:rsidR="0079376A" w:rsidRPr="0054344B" w:rsidRDefault="00170ADB" w:rsidP="00BF0E75">
      <w:pPr>
        <w:pStyle w:val="PSLeipis"/>
        <w:rPr>
          <w:lang w:val="en-US"/>
        </w:rPr>
      </w:pPr>
      <w:r w:rsidRPr="0054344B">
        <w:t>In contrast to the</w:t>
      </w:r>
      <w:r w:rsidR="0079376A" w:rsidRPr="0054344B">
        <w:t xml:space="preserve"> benefits gai</w:t>
      </w:r>
      <w:r w:rsidRPr="0054344B">
        <w:t>ned by firms as a result of establishing</w:t>
      </w:r>
      <w:r w:rsidR="0079376A" w:rsidRPr="0054344B">
        <w:t xml:space="preserve"> an </w:t>
      </w:r>
      <w:r w:rsidR="0079376A" w:rsidRPr="0054344B">
        <w:rPr>
          <w:color w:val="000000"/>
        </w:rPr>
        <w:t>AC</w:t>
      </w:r>
      <w:r w:rsidRPr="0054344B">
        <w:t xml:space="preserve">, </w:t>
      </w:r>
      <w:r w:rsidR="0079376A" w:rsidRPr="0054344B">
        <w:t xml:space="preserve">prior studies indicate that the presence of an </w:t>
      </w:r>
      <w:r w:rsidR="0079376A" w:rsidRPr="0054344B">
        <w:rPr>
          <w:color w:val="000000"/>
        </w:rPr>
        <w:t>AC</w:t>
      </w:r>
      <w:r w:rsidRPr="0054344B">
        <w:t xml:space="preserve"> can</w:t>
      </w:r>
      <w:r w:rsidR="0079376A" w:rsidRPr="0054344B">
        <w:t xml:space="preserve"> have no impact </w:t>
      </w:r>
      <w:r w:rsidR="006C2B68" w:rsidRPr="0054344B">
        <w:t xml:space="preserve">or a negative </w:t>
      </w:r>
      <w:r w:rsidR="004C0818" w:rsidRPr="0054344B">
        <w:t xml:space="preserve">impact </w:t>
      </w:r>
      <w:r w:rsidR="0079376A" w:rsidRPr="0054344B">
        <w:t xml:space="preserve">on a firm. </w:t>
      </w:r>
      <w:r w:rsidR="0079376A" w:rsidRPr="0054344B">
        <w:rPr>
          <w:lang w:val="en-US"/>
        </w:rPr>
        <w:t>Empirical research by Khosa, (2017) indicate</w:t>
      </w:r>
      <w:r w:rsidRPr="0054344B">
        <w:rPr>
          <w:lang w:val="en-US"/>
        </w:rPr>
        <w:t>s</w:t>
      </w:r>
      <w:r w:rsidR="0079376A" w:rsidRPr="0054344B">
        <w:rPr>
          <w:lang w:val="en-US"/>
        </w:rPr>
        <w:t xml:space="preserve"> that AC independence is</w:t>
      </w:r>
      <w:r w:rsidRPr="0054344B">
        <w:rPr>
          <w:lang w:val="en-US"/>
        </w:rPr>
        <w:t xml:space="preserve"> negatively associated with </w:t>
      </w:r>
      <w:r w:rsidR="0079376A" w:rsidRPr="0054344B">
        <w:rPr>
          <w:lang w:val="en-US"/>
        </w:rPr>
        <w:t xml:space="preserve">firm value, when </w:t>
      </w:r>
      <w:r w:rsidR="00CC162D" w:rsidRPr="0054344B">
        <w:rPr>
          <w:lang w:val="en-US"/>
        </w:rPr>
        <w:t xml:space="preserve">he conducted a research </w:t>
      </w:r>
      <w:r w:rsidR="0079376A" w:rsidRPr="0054344B">
        <w:rPr>
          <w:lang w:val="en-US"/>
        </w:rPr>
        <w:t>using a sample of 317 listed firms</w:t>
      </w:r>
      <w:r w:rsidRPr="0054344B">
        <w:rPr>
          <w:lang w:val="en-US"/>
        </w:rPr>
        <w:t xml:space="preserve"> from India,</w:t>
      </w:r>
      <w:r w:rsidR="0079376A" w:rsidRPr="0054344B">
        <w:rPr>
          <w:lang w:val="en-US"/>
        </w:rPr>
        <w:t xml:space="preserve"> comprising 1,350 firm-year observations for </w:t>
      </w:r>
      <w:r w:rsidRPr="0054344B">
        <w:rPr>
          <w:lang w:val="en-US"/>
        </w:rPr>
        <w:t xml:space="preserve">the period 2008-2012. </w:t>
      </w:r>
      <w:r w:rsidR="0079376A" w:rsidRPr="0054344B">
        <w:t>Bradbury et al.’</w:t>
      </w:r>
      <w:r w:rsidR="009F2AC7" w:rsidRPr="0054344B">
        <w:t xml:space="preserve">s (2006) research on board </w:t>
      </w:r>
      <w:r w:rsidR="004C0818" w:rsidRPr="0054344B">
        <w:t xml:space="preserve">of director </w:t>
      </w:r>
      <w:r w:rsidR="0079376A" w:rsidRPr="0054344B">
        <w:t xml:space="preserve">and AC size </w:t>
      </w:r>
      <w:r w:rsidR="004C0818" w:rsidRPr="0054344B">
        <w:t xml:space="preserve">on </w:t>
      </w:r>
      <w:r w:rsidR="0079376A" w:rsidRPr="0054344B">
        <w:t xml:space="preserve">firms </w:t>
      </w:r>
      <w:r w:rsidR="004C0818" w:rsidRPr="0054344B">
        <w:t xml:space="preserve">in Singapore and Malaysia </w:t>
      </w:r>
      <w:r w:rsidR="0079376A" w:rsidRPr="0054344B">
        <w:t xml:space="preserve">shows a significantly negative correlation with Tobin’s Q (firm value). This research is consistent with the findings of </w:t>
      </w:r>
      <w:proofErr w:type="spellStart"/>
      <w:r w:rsidR="0079376A" w:rsidRPr="0054344B">
        <w:t>Yermack</w:t>
      </w:r>
      <w:proofErr w:type="spellEnd"/>
      <w:r w:rsidR="0079376A" w:rsidRPr="0054344B">
        <w:t xml:space="preserve"> (1996), where a sample of 452 large US industrial corporations between 1984 and 1991 showed that the establishment of an AC board</w:t>
      </w:r>
      <w:r w:rsidR="00317BFB" w:rsidRPr="0054344B">
        <w:t xml:space="preserve"> had a negative correlation to </w:t>
      </w:r>
      <w:r w:rsidR="004C0818" w:rsidRPr="0054344B">
        <w:t xml:space="preserve">a </w:t>
      </w:r>
      <w:r w:rsidR="00317BFB" w:rsidRPr="0054344B">
        <w:t>firm’s</w:t>
      </w:r>
      <w:r w:rsidR="0079376A" w:rsidRPr="0054344B">
        <w:t xml:space="preserve"> Tobin’s Q. </w:t>
      </w:r>
    </w:p>
    <w:p w14:paraId="1D0DF6E6" w14:textId="77777777" w:rsidR="0079376A" w:rsidRPr="0054344B" w:rsidRDefault="0079376A" w:rsidP="00BF0E75">
      <w:pPr>
        <w:pStyle w:val="PSLeipis"/>
      </w:pPr>
      <w:r w:rsidRPr="0054344B">
        <w:t xml:space="preserve">Other research on </w:t>
      </w:r>
      <w:r w:rsidRPr="0054344B">
        <w:rPr>
          <w:color w:val="000000"/>
        </w:rPr>
        <w:t>AC</w:t>
      </w:r>
      <w:r w:rsidR="006C2B68" w:rsidRPr="0054344B">
        <w:rPr>
          <w:color w:val="000000"/>
        </w:rPr>
        <w:t>s</w:t>
      </w:r>
      <w:r w:rsidRPr="0054344B">
        <w:t xml:space="preserve"> shows no significant relationship to firm performance. For example, a study by Rahman and Ali (2006) found no significant relationship between audit committee independence and earnings management among Malaysian public listed companies. The reason for this is that</w:t>
      </w:r>
      <w:r w:rsidR="007944C4" w:rsidRPr="0054344B">
        <w:t xml:space="preserve"> board</w:t>
      </w:r>
      <w:r w:rsidR="006C2B68" w:rsidRPr="0054344B">
        <w:t>s</w:t>
      </w:r>
      <w:r w:rsidR="007944C4" w:rsidRPr="0054344B">
        <w:t xml:space="preserve"> of directors </w:t>
      </w:r>
      <w:r w:rsidR="004C0818" w:rsidRPr="0054344B">
        <w:t xml:space="preserve">are </w:t>
      </w:r>
      <w:r w:rsidR="007944C4" w:rsidRPr="0054344B">
        <w:t>considered to be</w:t>
      </w:r>
      <w:r w:rsidRPr="0054344B">
        <w:t xml:space="preserve"> ineffective in discharging their monitoring duties </w:t>
      </w:r>
      <w:r w:rsidR="007944C4" w:rsidRPr="0054344B">
        <w:t>due to management</w:t>
      </w:r>
      <w:r w:rsidR="004C0818" w:rsidRPr="0054344B">
        <w:t>’s</w:t>
      </w:r>
      <w:r w:rsidR="007944C4" w:rsidRPr="0054344B">
        <w:t xml:space="preserve"> dominance of</w:t>
      </w:r>
      <w:r w:rsidRPr="0054344B">
        <w:t xml:space="preserve"> board matters</w:t>
      </w:r>
      <w:r w:rsidRPr="0054344B">
        <w:rPr>
          <w:color w:val="515151"/>
          <w:spacing w:val="5"/>
          <w:shd w:val="clear" w:color="auto" w:fill="FFFFFF"/>
        </w:rPr>
        <w:t xml:space="preserve">. </w:t>
      </w:r>
    </w:p>
    <w:p w14:paraId="3BC58549" w14:textId="77777777" w:rsidR="0079376A" w:rsidRPr="0054344B" w:rsidRDefault="0079376A" w:rsidP="00BF0E75">
      <w:pPr>
        <w:pStyle w:val="PSLeipis"/>
      </w:pPr>
      <w:r w:rsidRPr="0054344B">
        <w:t xml:space="preserve">However, given the mixed empirical evidence, this research predicts that </w:t>
      </w:r>
      <w:r w:rsidRPr="0054344B">
        <w:rPr>
          <w:color w:val="000000"/>
        </w:rPr>
        <w:t>AC</w:t>
      </w:r>
      <w:r w:rsidR="006C2B68" w:rsidRPr="0054344B">
        <w:rPr>
          <w:color w:val="000000"/>
        </w:rPr>
        <w:t>s</w:t>
      </w:r>
      <w:r w:rsidR="003C4128" w:rsidRPr="0054344B">
        <w:t xml:space="preserve"> in UK financial institutions</w:t>
      </w:r>
      <w:r w:rsidRPr="0054344B">
        <w:t xml:space="preserve"> can have either a positive or negative association with firm value, as a measure of financial performance. Henceforth, the main hypotheses to be tested are as follows:</w:t>
      </w:r>
      <w:r w:rsidRPr="0054344B">
        <w:rPr>
          <w:sz w:val="22"/>
          <w:szCs w:val="22"/>
        </w:rPr>
        <w:tab/>
      </w:r>
    </w:p>
    <w:p w14:paraId="2397100C" w14:textId="77777777" w:rsidR="0079376A" w:rsidRPr="00BF0E75" w:rsidRDefault="0079376A" w:rsidP="00BF0E75">
      <w:pPr>
        <w:autoSpaceDE w:val="0"/>
        <w:autoSpaceDN w:val="0"/>
        <w:adjustRightInd w:val="0"/>
        <w:spacing w:after="200" w:line="340" w:lineRule="atLeast"/>
        <w:jc w:val="both"/>
        <w:rPr>
          <w:i/>
          <w:iCs/>
          <w:noProof w:val="0"/>
          <w:sz w:val="26"/>
          <w:szCs w:val="26"/>
        </w:rPr>
      </w:pPr>
      <w:r w:rsidRPr="00BF0E75">
        <w:rPr>
          <w:b/>
          <w:bCs/>
          <w:i/>
          <w:iCs/>
          <w:noProof w:val="0"/>
          <w:sz w:val="26"/>
          <w:szCs w:val="26"/>
        </w:rPr>
        <w:t>H1</w:t>
      </w:r>
      <w:r w:rsidRPr="00BF0E75">
        <w:rPr>
          <w:b/>
          <w:bCs/>
          <w:noProof w:val="0"/>
          <w:sz w:val="26"/>
          <w:szCs w:val="26"/>
        </w:rPr>
        <w:t>:</w:t>
      </w:r>
      <w:r w:rsidRPr="00BF0E75">
        <w:rPr>
          <w:noProof w:val="0"/>
          <w:sz w:val="26"/>
          <w:szCs w:val="26"/>
        </w:rPr>
        <w:t xml:space="preserve"> </w:t>
      </w:r>
      <w:r w:rsidRPr="00BF0E75">
        <w:rPr>
          <w:i/>
          <w:iCs/>
          <w:noProof w:val="0"/>
          <w:sz w:val="26"/>
          <w:szCs w:val="26"/>
        </w:rPr>
        <w:t>There is a positive and statistically significant relationship between</w:t>
      </w:r>
      <w:r w:rsidR="007944C4" w:rsidRPr="00BF0E75">
        <w:rPr>
          <w:i/>
          <w:iCs/>
          <w:noProof w:val="0"/>
          <w:sz w:val="26"/>
          <w:szCs w:val="26"/>
        </w:rPr>
        <w:t xml:space="preserve"> the existence of an</w:t>
      </w:r>
      <w:r w:rsidRPr="00BF0E75">
        <w:rPr>
          <w:i/>
          <w:iCs/>
          <w:noProof w:val="0"/>
          <w:sz w:val="26"/>
          <w:szCs w:val="26"/>
        </w:rPr>
        <w:t xml:space="preserve"> audit committee and </w:t>
      </w:r>
      <w:r w:rsidR="006C2B68" w:rsidRPr="00BF0E75">
        <w:rPr>
          <w:i/>
          <w:iCs/>
          <w:noProof w:val="0"/>
          <w:sz w:val="26"/>
          <w:szCs w:val="26"/>
        </w:rPr>
        <w:t xml:space="preserve">a </w:t>
      </w:r>
      <w:r w:rsidRPr="00BF0E75">
        <w:rPr>
          <w:i/>
          <w:iCs/>
          <w:noProof w:val="0"/>
          <w:sz w:val="26"/>
          <w:szCs w:val="26"/>
        </w:rPr>
        <w:t xml:space="preserve">firm’s value as a measure of financial performance in UK financial firms. </w:t>
      </w:r>
    </w:p>
    <w:p w14:paraId="754F5D9E" w14:textId="77777777" w:rsidR="0079376A" w:rsidRPr="00BF0E75" w:rsidRDefault="0079376A" w:rsidP="00BF0E75">
      <w:pPr>
        <w:autoSpaceDE w:val="0"/>
        <w:autoSpaceDN w:val="0"/>
        <w:adjustRightInd w:val="0"/>
        <w:spacing w:after="200" w:line="340" w:lineRule="atLeast"/>
        <w:jc w:val="both"/>
        <w:rPr>
          <w:noProof w:val="0"/>
          <w:sz w:val="26"/>
          <w:szCs w:val="26"/>
        </w:rPr>
      </w:pPr>
      <w:r w:rsidRPr="00BF0E75">
        <w:rPr>
          <w:b/>
          <w:bCs/>
          <w:i/>
          <w:iCs/>
          <w:noProof w:val="0"/>
          <w:sz w:val="26"/>
          <w:szCs w:val="26"/>
        </w:rPr>
        <w:t>H2</w:t>
      </w:r>
      <w:r w:rsidRPr="00BF0E75">
        <w:rPr>
          <w:b/>
          <w:bCs/>
          <w:noProof w:val="0"/>
          <w:sz w:val="26"/>
          <w:szCs w:val="26"/>
        </w:rPr>
        <w:t>:</w:t>
      </w:r>
      <w:r w:rsidRPr="00BF0E75">
        <w:rPr>
          <w:noProof w:val="0"/>
          <w:sz w:val="26"/>
          <w:szCs w:val="26"/>
        </w:rPr>
        <w:t xml:space="preserve"> </w:t>
      </w:r>
      <w:r w:rsidRPr="00BF0E75">
        <w:rPr>
          <w:i/>
          <w:iCs/>
          <w:noProof w:val="0"/>
          <w:sz w:val="26"/>
          <w:szCs w:val="26"/>
        </w:rPr>
        <w:t xml:space="preserve">There is either a positive or a negative relationship between </w:t>
      </w:r>
      <w:r w:rsidR="007944C4" w:rsidRPr="00BF0E75">
        <w:rPr>
          <w:i/>
          <w:iCs/>
          <w:noProof w:val="0"/>
          <w:sz w:val="26"/>
          <w:szCs w:val="26"/>
        </w:rPr>
        <w:t xml:space="preserve">the existence of an </w:t>
      </w:r>
      <w:r w:rsidRPr="00BF0E75">
        <w:rPr>
          <w:i/>
          <w:iCs/>
          <w:noProof w:val="0"/>
          <w:sz w:val="26"/>
          <w:szCs w:val="26"/>
        </w:rPr>
        <w:t xml:space="preserve">audit committee and </w:t>
      </w:r>
      <w:r w:rsidR="006C2B68" w:rsidRPr="00BF0E75">
        <w:rPr>
          <w:i/>
          <w:iCs/>
          <w:noProof w:val="0"/>
          <w:sz w:val="26"/>
          <w:szCs w:val="26"/>
        </w:rPr>
        <w:t>a</w:t>
      </w:r>
      <w:r w:rsidRPr="00BF0E75">
        <w:rPr>
          <w:i/>
          <w:iCs/>
          <w:noProof w:val="0"/>
          <w:sz w:val="26"/>
          <w:szCs w:val="26"/>
        </w:rPr>
        <w:t xml:space="preserve"> firm’s value as a me</w:t>
      </w:r>
      <w:r w:rsidR="007944C4" w:rsidRPr="00BF0E75">
        <w:rPr>
          <w:i/>
          <w:iCs/>
          <w:noProof w:val="0"/>
          <w:sz w:val="26"/>
          <w:szCs w:val="26"/>
        </w:rPr>
        <w:t>asure of financial performance i</w:t>
      </w:r>
      <w:r w:rsidRPr="00BF0E75">
        <w:rPr>
          <w:i/>
          <w:iCs/>
          <w:noProof w:val="0"/>
          <w:sz w:val="26"/>
          <w:szCs w:val="26"/>
        </w:rPr>
        <w:t>n UK financial firms during the pre</w:t>
      </w:r>
      <w:r w:rsidR="001A451C" w:rsidRPr="00BF0E75">
        <w:rPr>
          <w:i/>
          <w:iCs/>
          <w:noProof w:val="0"/>
          <w:sz w:val="26"/>
          <w:szCs w:val="26"/>
        </w:rPr>
        <w:t xml:space="preserve">- and </w:t>
      </w:r>
      <w:r w:rsidRPr="00BF0E75">
        <w:rPr>
          <w:i/>
          <w:iCs/>
          <w:noProof w:val="0"/>
          <w:sz w:val="26"/>
          <w:szCs w:val="26"/>
        </w:rPr>
        <w:t>post-financial crisis periods</w:t>
      </w:r>
      <w:r w:rsidRPr="00BF0E75">
        <w:rPr>
          <w:noProof w:val="0"/>
          <w:sz w:val="26"/>
          <w:szCs w:val="26"/>
        </w:rPr>
        <w:t>.</w:t>
      </w:r>
    </w:p>
    <w:p w14:paraId="005155EF" w14:textId="2EE5785D" w:rsidR="0079376A" w:rsidRPr="0054344B" w:rsidRDefault="0079376A" w:rsidP="00BF0E75">
      <w:pPr>
        <w:pStyle w:val="Heading1"/>
      </w:pPr>
      <w:r w:rsidRPr="0054344B">
        <w:lastRenderedPageBreak/>
        <w:t>Research Method</w:t>
      </w:r>
    </w:p>
    <w:p w14:paraId="651B4195" w14:textId="6AFE11CD" w:rsidR="0079376A" w:rsidRPr="0054344B" w:rsidRDefault="00BF0E75" w:rsidP="00BF0E75">
      <w:pPr>
        <w:pStyle w:val="Heading2"/>
      </w:pPr>
      <w:r>
        <w:t>3</w:t>
      </w:r>
      <w:r w:rsidR="00E25502">
        <w:t>.1</w:t>
      </w:r>
      <w:r w:rsidR="00E25502">
        <w:tab/>
      </w:r>
      <w:r w:rsidR="0079376A" w:rsidRPr="0054344B">
        <w:t xml:space="preserve">Data and sample </w:t>
      </w:r>
    </w:p>
    <w:p w14:paraId="33FE303E" w14:textId="77777777" w:rsidR="0079376A" w:rsidRPr="0054344B" w:rsidRDefault="0079376A" w:rsidP="00E25502">
      <w:pPr>
        <w:pStyle w:val="PSLeipis"/>
      </w:pPr>
      <w:r w:rsidRPr="0054344B">
        <w:t>This research paper use</w:t>
      </w:r>
      <w:r w:rsidR="00412F11" w:rsidRPr="0054344B">
        <w:t>s</w:t>
      </w:r>
      <w:r w:rsidRPr="0054344B">
        <w:t xml:space="preserve"> secondary data from DataStream (Thomson Reuters) and cover</w:t>
      </w:r>
      <w:r w:rsidR="00C11A97" w:rsidRPr="0054344B">
        <w:t>s</w:t>
      </w:r>
      <w:r w:rsidRPr="0054344B">
        <w:t xml:space="preserve"> a 12-year period of 63 financial firms’ annual reports (from December 2000 to December 2011). </w:t>
      </w:r>
      <w:r w:rsidR="00C11A97" w:rsidRPr="0054344B">
        <w:t>The f</w:t>
      </w:r>
      <w:r w:rsidRPr="0054344B">
        <w:t xml:space="preserve">inancial firms include </w:t>
      </w:r>
      <w:r w:rsidR="00C11A97" w:rsidRPr="0054344B">
        <w:t xml:space="preserve">representatives from the </w:t>
      </w:r>
      <w:r w:rsidRPr="0054344B">
        <w:t>investme</w:t>
      </w:r>
      <w:r w:rsidR="007944C4" w:rsidRPr="0054344B">
        <w:t>nt banking, insurance, mortgage</w:t>
      </w:r>
      <w:r w:rsidRPr="0054344B">
        <w:t>, investment trust and banking services sectors.</w:t>
      </w:r>
    </w:p>
    <w:p w14:paraId="398D9B1B" w14:textId="77777777" w:rsidR="0079376A" w:rsidRPr="0054344B" w:rsidRDefault="00C11A97" w:rsidP="00E25502">
      <w:pPr>
        <w:pStyle w:val="PSLeipis"/>
      </w:pPr>
      <w:r w:rsidRPr="0054344B">
        <w:t>The f</w:t>
      </w:r>
      <w:r w:rsidR="0079376A" w:rsidRPr="0054344B">
        <w:t xml:space="preserve">irms were selected to be part of the sample </w:t>
      </w:r>
      <w:r w:rsidRPr="0054344B">
        <w:t xml:space="preserve">by </w:t>
      </w:r>
      <w:r w:rsidR="0079376A" w:rsidRPr="0054344B">
        <w:t xml:space="preserve">using the criteria that they have </w:t>
      </w:r>
      <w:r w:rsidRPr="0054344B">
        <w:t xml:space="preserve">had </w:t>
      </w:r>
      <w:r w:rsidR="0079376A" w:rsidRPr="0054344B">
        <w:t xml:space="preserve">12 consecutive years of annual reports, and that the independent variables (audit committee information), dependent variable (Tobin’s Q) and control </w:t>
      </w:r>
      <w:r w:rsidRPr="0054344B">
        <w:t xml:space="preserve">are </w:t>
      </w:r>
      <w:r w:rsidR="0079376A" w:rsidRPr="0054344B">
        <w:t>availa</w:t>
      </w:r>
      <w:r w:rsidR="003C4128" w:rsidRPr="0054344B">
        <w:t>ble on DataStream (Cheng et al. 2008; Mintah, 2015;</w:t>
      </w:r>
      <w:r w:rsidR="0079376A" w:rsidRPr="0054344B">
        <w:t xml:space="preserve"> Krause and Tse, </w:t>
      </w:r>
      <w:r w:rsidR="0079376A" w:rsidRPr="0054344B">
        <w:rPr>
          <w:lang w:val="en-US"/>
        </w:rPr>
        <w:t>2016</w:t>
      </w:r>
      <w:r w:rsidR="0079376A" w:rsidRPr="0054344B">
        <w:t xml:space="preserve">). </w:t>
      </w:r>
    </w:p>
    <w:p w14:paraId="088439D2" w14:textId="77777777" w:rsidR="0079376A" w:rsidRPr="0054344B" w:rsidRDefault="007944C4" w:rsidP="00E25502">
      <w:pPr>
        <w:pStyle w:val="PSLeipis"/>
      </w:pPr>
      <w:r w:rsidRPr="0054344B">
        <w:t>The decision to use</w:t>
      </w:r>
      <w:r w:rsidR="0079376A" w:rsidRPr="0054344B">
        <w:t xml:space="preserve"> a financial </w:t>
      </w:r>
      <w:r w:rsidR="003C4128" w:rsidRPr="0054344B">
        <w:t>institution’s</w:t>
      </w:r>
      <w:r w:rsidR="0079376A" w:rsidRPr="0054344B">
        <w:t xml:space="preserve"> annual report is consistent with previous empirical studies (e.g., </w:t>
      </w:r>
      <w:proofErr w:type="spellStart"/>
      <w:r w:rsidR="0079376A" w:rsidRPr="0054344B">
        <w:t>Botosan</w:t>
      </w:r>
      <w:proofErr w:type="spellEnd"/>
      <w:r w:rsidR="0079376A" w:rsidRPr="0054344B">
        <w:t xml:space="preserve"> 1997; </w:t>
      </w:r>
      <w:proofErr w:type="spellStart"/>
      <w:r w:rsidR="0079376A" w:rsidRPr="0054344B">
        <w:t>Ho</w:t>
      </w:r>
      <w:proofErr w:type="spellEnd"/>
      <w:r w:rsidR="0079376A" w:rsidRPr="0054344B">
        <w:t xml:space="preserve"> and Williams, 2003; Cheung et al., 2006; </w:t>
      </w:r>
      <w:proofErr w:type="spellStart"/>
      <w:r w:rsidR="0079376A" w:rsidRPr="0054344B">
        <w:t>Mangena</w:t>
      </w:r>
      <w:proofErr w:type="spellEnd"/>
      <w:r w:rsidR="0079376A" w:rsidRPr="0054344B">
        <w:t xml:space="preserve"> and </w:t>
      </w:r>
      <w:proofErr w:type="spellStart"/>
      <w:r w:rsidR="0079376A" w:rsidRPr="0054344B">
        <w:t>Chamisa</w:t>
      </w:r>
      <w:proofErr w:type="spellEnd"/>
      <w:r w:rsidR="0079376A" w:rsidRPr="0054344B">
        <w:t xml:space="preserve">, 2008; </w:t>
      </w:r>
      <w:proofErr w:type="spellStart"/>
      <w:r w:rsidR="0079376A" w:rsidRPr="0054344B">
        <w:t>Ntim</w:t>
      </w:r>
      <w:proofErr w:type="spellEnd"/>
      <w:r w:rsidR="0079376A" w:rsidRPr="0054344B">
        <w:t xml:space="preserve"> et al., 2013; </w:t>
      </w:r>
      <w:proofErr w:type="spellStart"/>
      <w:r w:rsidR="0079376A" w:rsidRPr="0054344B">
        <w:t>Zagorchev</w:t>
      </w:r>
      <w:proofErr w:type="spellEnd"/>
      <w:r w:rsidR="0079376A" w:rsidRPr="0054344B">
        <w:t xml:space="preserve"> and Gao, 2015; Mintah</w:t>
      </w:r>
      <w:r w:rsidR="003C4128" w:rsidRPr="0054344B">
        <w:t>, 2015</w:t>
      </w:r>
      <w:r w:rsidR="0079376A" w:rsidRPr="0054344B">
        <w:t>).</w:t>
      </w:r>
    </w:p>
    <w:p w14:paraId="53AAED0D" w14:textId="77777777" w:rsidR="0079376A" w:rsidRPr="0054344B" w:rsidRDefault="0079376A" w:rsidP="00E25502">
      <w:pPr>
        <w:pStyle w:val="PSLeipis"/>
      </w:pPr>
      <w:r w:rsidRPr="0054344B">
        <w:t xml:space="preserve">The 63 financial firms generate 756 </w:t>
      </w:r>
      <w:r w:rsidR="007944C4" w:rsidRPr="0054344B">
        <w:t>firm-year observations, which are sufficient</w:t>
      </w:r>
      <w:r w:rsidRPr="0054344B">
        <w:t xml:space="preserve"> to help answer the research questions and make a meaningful contribution to AC literature. Also, selecti</w:t>
      </w:r>
      <w:r w:rsidR="007944C4" w:rsidRPr="0054344B">
        <w:t>ng data from 2000 to 2011 is appropriate</w:t>
      </w:r>
      <w:r w:rsidRPr="0054344B">
        <w:t xml:space="preserve"> to the research objective</w:t>
      </w:r>
      <w:r w:rsidR="00A40F25" w:rsidRPr="0054344B">
        <w:t>s</w:t>
      </w:r>
      <w:r w:rsidRPr="0054344B">
        <w:t xml:space="preserve"> and the rationale behind this study.</w:t>
      </w:r>
    </w:p>
    <w:p w14:paraId="5F54FBAA" w14:textId="77777777" w:rsidR="0079376A" w:rsidRPr="0054344B" w:rsidRDefault="0079376A" w:rsidP="00E25502">
      <w:pPr>
        <w:pStyle w:val="PSLeipis"/>
      </w:pPr>
      <w:r w:rsidRPr="0054344B">
        <w:t xml:space="preserve"> The sample used is large when compared with previous empirical studies such as, for example, </w:t>
      </w:r>
      <w:proofErr w:type="spellStart"/>
      <w:r w:rsidRPr="0054344B">
        <w:t>Zagorchev</w:t>
      </w:r>
      <w:proofErr w:type="spellEnd"/>
      <w:r w:rsidRPr="0054344B">
        <w:t xml:space="preserve"> and Gao (2015), who obtained 41 corporate governance datasets</w:t>
      </w:r>
      <w:r w:rsidR="00F21021" w:rsidRPr="0054344B">
        <w:t xml:space="preserve"> from </w:t>
      </w:r>
      <w:r w:rsidR="00DA4F23" w:rsidRPr="0054344B">
        <w:t>US</w:t>
      </w:r>
      <w:r w:rsidRPr="0054344B">
        <w:t xml:space="preserve"> to cover the period 2002-2009; </w:t>
      </w:r>
      <w:proofErr w:type="spellStart"/>
      <w:r w:rsidRPr="0054344B">
        <w:t>Aanu</w:t>
      </w:r>
      <w:proofErr w:type="spellEnd"/>
      <w:r w:rsidRPr="0054344B">
        <w:t xml:space="preserve"> et al. (2014), who used 25 firms in Nigeria from 2004 to 2011; Fire and Meth (1986), who obtained 36 annual reports in order to study the information requirements for </w:t>
      </w:r>
      <w:r w:rsidR="00C11A97" w:rsidRPr="0054344B">
        <w:t xml:space="preserve">the </w:t>
      </w:r>
      <w:r w:rsidRPr="0054344B">
        <w:t xml:space="preserve">analysis of </w:t>
      </w:r>
      <w:r w:rsidR="00C11A97" w:rsidRPr="0054344B">
        <w:t xml:space="preserve">investment by </w:t>
      </w:r>
      <w:r w:rsidRPr="0054344B">
        <w:t>companies; and April et al. (2003), who used only 20 annual reports to examine capital disclosure among mining firms.</w:t>
      </w:r>
    </w:p>
    <w:p w14:paraId="5A4790D5" w14:textId="77777777" w:rsidR="0079376A" w:rsidRPr="0054344B" w:rsidRDefault="0079376A" w:rsidP="00E25502">
      <w:pPr>
        <w:pStyle w:val="PSLeipis"/>
      </w:pPr>
      <w:r w:rsidRPr="0054344B">
        <w:t xml:space="preserve">Financial </w:t>
      </w:r>
      <w:r w:rsidR="003C4128" w:rsidRPr="0054344B">
        <w:t>institutions</w:t>
      </w:r>
      <w:r w:rsidRPr="0054344B">
        <w:t xml:space="preserve"> were primarily chosen as a research subject because they are heavily regulated and have unique capital structures, which can </w:t>
      </w:r>
      <w:r w:rsidR="004C0818" w:rsidRPr="0054344B">
        <w:t xml:space="preserve">affect </w:t>
      </w:r>
      <w:r w:rsidRPr="0054344B">
        <w:t>their financial performance (</w:t>
      </w:r>
      <w:proofErr w:type="spellStart"/>
      <w:r w:rsidRPr="0054344B">
        <w:t>Yermack</w:t>
      </w:r>
      <w:proofErr w:type="spellEnd"/>
      <w:r w:rsidRPr="0054344B">
        <w:t>, 1996; Guest, 2009; Lim et al., 2007). A secondary reason for choo</w:t>
      </w:r>
      <w:r w:rsidR="007944C4" w:rsidRPr="0054344B">
        <w:t>sing financial firms was that</w:t>
      </w:r>
      <w:r w:rsidRPr="0054344B">
        <w:t xml:space="preserve"> they mobilise and allocate capital to help other sectors grow and increase productivity. This enhances efficient capital allocation among firms (Levine, 2003). The breakdown of the firms used and other descriptions can be seen in Table 1.</w:t>
      </w:r>
    </w:p>
    <w:p w14:paraId="068C20B0" w14:textId="77777777" w:rsidR="0079376A" w:rsidRPr="0054344B" w:rsidRDefault="0079376A" w:rsidP="00E25502">
      <w:pPr>
        <w:pStyle w:val="PSLeipis"/>
      </w:pPr>
      <w:r w:rsidRPr="0054344B">
        <w:lastRenderedPageBreak/>
        <w:t>This research also use</w:t>
      </w:r>
      <w:r w:rsidR="00303818" w:rsidRPr="0054344B">
        <w:t>s</w:t>
      </w:r>
      <w:r w:rsidRPr="0054344B">
        <w:t xml:space="preserve"> panel da</w:t>
      </w:r>
      <w:r w:rsidR="007944C4" w:rsidRPr="0054344B">
        <w:t xml:space="preserve">ta analysis </w:t>
      </w:r>
      <w:r w:rsidR="00094D53" w:rsidRPr="0054344B">
        <w:t>because it</w:t>
      </w:r>
      <w:r w:rsidR="007944C4" w:rsidRPr="0054344B">
        <w:t xml:space="preserve"> gives a great</w:t>
      </w:r>
      <w:r w:rsidRPr="0054344B">
        <w:t>er degree of freedom; less collinearity among variables; more cross-sectional and time-seri</w:t>
      </w:r>
      <w:r w:rsidR="005E3FF3" w:rsidRPr="0054344B">
        <w:t>es variability; more efficiency</w:t>
      </w:r>
      <w:r w:rsidRPr="0054344B">
        <w:t xml:space="preserve"> and </w:t>
      </w:r>
      <w:r w:rsidR="00C11A97" w:rsidRPr="0054344B">
        <w:t xml:space="preserve">more </w:t>
      </w:r>
      <w:r w:rsidRPr="0054344B">
        <w:t xml:space="preserve">accounts </w:t>
      </w:r>
      <w:r w:rsidR="00C11A97" w:rsidRPr="0054344B">
        <w:t xml:space="preserve">of </w:t>
      </w:r>
      <w:r w:rsidRPr="0054344B">
        <w:t xml:space="preserve">observable firm-level heterogeneity in individual-specific variables (see, for example, Gujarati, 2003; Cheng et al., 2008; </w:t>
      </w:r>
      <w:proofErr w:type="spellStart"/>
      <w:r w:rsidRPr="0054344B">
        <w:t>Ntim</w:t>
      </w:r>
      <w:proofErr w:type="spellEnd"/>
      <w:r w:rsidRPr="0054344B">
        <w:t xml:space="preserve"> et al., 2013, </w:t>
      </w:r>
      <w:proofErr w:type="spellStart"/>
      <w:r w:rsidRPr="0054344B">
        <w:t>Danso</w:t>
      </w:r>
      <w:proofErr w:type="spellEnd"/>
      <w:r w:rsidRPr="0054344B">
        <w:t xml:space="preserve"> and </w:t>
      </w:r>
      <w:proofErr w:type="spellStart"/>
      <w:r w:rsidRPr="0054344B">
        <w:t>Adomako</w:t>
      </w:r>
      <w:proofErr w:type="spellEnd"/>
      <w:r w:rsidRPr="0054344B">
        <w:t>, 2014). Used panel data analysis.</w:t>
      </w:r>
    </w:p>
    <w:p w14:paraId="48CEA33B" w14:textId="77777777" w:rsidR="00DA4F23" w:rsidRPr="0054344B" w:rsidRDefault="00DA4F23" w:rsidP="00130435">
      <w:pPr>
        <w:autoSpaceDE w:val="0"/>
        <w:autoSpaceDN w:val="0"/>
        <w:adjustRightInd w:val="0"/>
        <w:jc w:val="center"/>
        <w:rPr>
          <w:b/>
          <w:bCs/>
          <w:noProof w:val="0"/>
        </w:rPr>
      </w:pPr>
    </w:p>
    <w:p w14:paraId="3A58D71D" w14:textId="77777777" w:rsidR="0079376A" w:rsidRPr="0054344B" w:rsidRDefault="0079376A" w:rsidP="00130435">
      <w:pPr>
        <w:autoSpaceDE w:val="0"/>
        <w:autoSpaceDN w:val="0"/>
        <w:adjustRightInd w:val="0"/>
        <w:jc w:val="center"/>
        <w:rPr>
          <w:b/>
          <w:bCs/>
          <w:noProof w:val="0"/>
        </w:rPr>
      </w:pPr>
      <w:r w:rsidRPr="0054344B">
        <w:rPr>
          <w:b/>
          <w:bCs/>
          <w:noProof w:val="0"/>
        </w:rPr>
        <w:t xml:space="preserve"> [INSERT TABLE 1 HERE]</w:t>
      </w:r>
    </w:p>
    <w:p w14:paraId="46E325C2" w14:textId="546062EE" w:rsidR="0079376A" w:rsidRPr="0054344B" w:rsidRDefault="00E25502" w:rsidP="00E25502">
      <w:pPr>
        <w:pStyle w:val="Heading2"/>
      </w:pPr>
      <w:r>
        <w:t>3.2</w:t>
      </w:r>
      <w:r>
        <w:tab/>
      </w:r>
      <w:r w:rsidR="0079376A" w:rsidRPr="0054344B">
        <w:t>The regression design</w:t>
      </w:r>
    </w:p>
    <w:p w14:paraId="275845DC" w14:textId="4E78520D" w:rsidR="0079376A" w:rsidRDefault="0079376A" w:rsidP="00E25502">
      <w:pPr>
        <w:pStyle w:val="PSLeipis"/>
      </w:pPr>
      <w:r w:rsidRPr="0054344B">
        <w:t>The data given will be tested using</w:t>
      </w:r>
      <w:r w:rsidR="005E3FF3" w:rsidRPr="0054344B">
        <w:t xml:space="preserve"> the following regression model:</w:t>
      </w:r>
    </w:p>
    <w:p w14:paraId="007CCD09" w14:textId="5E1BE729" w:rsidR="00C56C7D" w:rsidRPr="0054344B" w:rsidRDefault="00E25502" w:rsidP="00E25502">
      <w:pPr>
        <w:pStyle w:val="PSKaavat"/>
        <w:rPr>
          <w:sz w:val="20"/>
          <w:szCs w:val="20"/>
        </w:rPr>
      </w:pPr>
      <w:r>
        <w:tab/>
      </w:r>
      <m:oMath>
        <m:sSub>
          <m:sSubPr>
            <m:ctrlPr>
              <w:rPr>
                <w:rFonts w:ascii="Cambria Math" w:hAnsi="Cambria Math"/>
              </w:rPr>
            </m:ctrlPr>
          </m:sSubPr>
          <m:e>
            <m:r>
              <m:rPr>
                <m:sty m:val="p"/>
              </m:rPr>
              <w:rPr>
                <w:rFonts w:ascii="Cambria Math" w:hAnsi="Cambria Math"/>
              </w:rPr>
              <m:t>Tobin's Q</m:t>
            </m:r>
          </m:e>
          <m:sub>
            <m:r>
              <m:rPr>
                <m:sty m:val="p"/>
              </m:rPr>
              <w:rPr>
                <w:rFonts w:ascii="Cambria Math" w:hAnsi="Cambria Math"/>
              </w:rPr>
              <m:t>it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Audit Committee</m:t>
            </m:r>
          </m:e>
          <m:sub>
            <m:r>
              <m:rPr>
                <m:sty m:val="p"/>
              </m:rPr>
              <w:rPr>
                <w:rFonts w:ascii="Cambria Math" w:hAnsi="Cambria Math"/>
              </w:rPr>
              <m:t>it</m:t>
            </m:r>
          </m:sub>
        </m:sSub>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i=2</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α</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CONTROLS</m:t>
                </m:r>
              </m:e>
              <m:sub>
                <m:r>
                  <m:rPr>
                    <m:sty m:val="p"/>
                  </m:rPr>
                  <w:rPr>
                    <w:rFonts w:ascii="Cambria Math" w:hAnsi="Cambria Math"/>
                  </w:rPr>
                  <m:t>it</m:t>
                </m:r>
              </m:sub>
            </m:sSub>
          </m:e>
        </m:nary>
        <m:r>
          <m:rPr>
            <m:sty m:val="p"/>
          </m:rPr>
          <w:rPr>
            <w:rFonts w:ascii="Cambria Math" w:hAnsi="Cambria Math"/>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it</m:t>
            </m:r>
          </m:sub>
        </m:sSub>
      </m:oMath>
      <w:r>
        <w:rPr>
          <w:sz w:val="20"/>
          <w:szCs w:val="20"/>
        </w:rPr>
        <w:tab/>
      </w:r>
      <w:r w:rsidR="0079376A" w:rsidRPr="00E25502">
        <w:t>(1)</w:t>
      </w:r>
    </w:p>
    <w:p w14:paraId="4ED28A04" w14:textId="77777777" w:rsidR="00C56C7D" w:rsidRPr="0054344B" w:rsidRDefault="00C56C7D" w:rsidP="00E25502">
      <w:pPr>
        <w:pStyle w:val="PSLeipis"/>
      </w:pPr>
      <w:r w:rsidRPr="0054344B">
        <w:t xml:space="preserve">where: </w:t>
      </w:r>
    </w:p>
    <w:p w14:paraId="7E059AAF" w14:textId="4715D543" w:rsidR="0079376A" w:rsidRPr="0054344B" w:rsidRDefault="00147C7E" w:rsidP="00E25502">
      <w:pPr>
        <w:pStyle w:val="PSLeipis"/>
      </w:pP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Tobi</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m:t>
                </m:r>
              </m:sup>
            </m:sSup>
            <m:r>
              <m:rPr>
                <m:sty m:val="p"/>
              </m:rPr>
              <w:rPr>
                <w:rFonts w:ascii="Cambria Math" w:hAnsi="Cambria Math"/>
              </w:rPr>
              <m:t>s Q</m:t>
            </m:r>
          </m:e>
          <m:sub>
            <m:r>
              <m:rPr>
                <m:sty m:val="p"/>
              </m:rPr>
              <w:rPr>
                <w:rFonts w:ascii="Cambria Math" w:hAnsi="Cambria Math"/>
              </w:rPr>
              <m:t>it</m:t>
            </m:r>
          </m:sub>
        </m:sSub>
      </m:oMath>
      <w:r w:rsidR="00C56C7D" w:rsidRPr="0054344B">
        <w:t xml:space="preserve"> for firm i at time t is the dependent variable used as a proxy for firm valuation. That is, Tobin’s Q will represent and serve as a firm-based organisational valuation measure.</w:t>
      </w:r>
      <w:r w:rsidR="00C56C7D" w:rsidRPr="0054344B">
        <w:rPr>
          <w:i/>
        </w:rPr>
        <w:t xml:space="preserve"> </w:t>
      </w:r>
      <w:r w:rsidR="00C56C7D" w:rsidRPr="0054344B">
        <w:t xml:space="preserve">The term </w: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0</m:t>
            </m:r>
          </m:sub>
        </m:sSub>
      </m:oMath>
      <w:r w:rsidR="00C56C7D" w:rsidRPr="0054344B">
        <w:t xml:space="preserve"> is constant; the independent variable is Audit Committee (AC). The control variables are growth (GROWTH), capital structure (LEV), size of the firm (FSIZE), Big4 auditing firm, firm is dual-listed (DUAL), Industry (IND), and years of operation (YED). The controls will help reduce any potential omitted variable bias. The last term  </w:t>
      </w:r>
      <m:oMath>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it</m:t>
            </m:r>
          </m:sub>
        </m:sSub>
      </m:oMath>
      <w:r w:rsidR="00C56C7D" w:rsidRPr="0054344B">
        <w:rPr>
          <w:i/>
        </w:rPr>
        <w:t xml:space="preserve"> </w:t>
      </w:r>
      <w:r w:rsidR="00C56C7D" w:rsidRPr="0054344B">
        <w:t xml:space="preserve">is the model error for firm </w:t>
      </w:r>
      <w:proofErr w:type="spellStart"/>
      <w:r w:rsidR="00C56C7D" w:rsidRPr="0054344B">
        <w:t>i</w:t>
      </w:r>
      <w:proofErr w:type="spellEnd"/>
      <w:r w:rsidR="00C56C7D" w:rsidRPr="0054344B">
        <w:t xml:space="preserve"> at time t.</w:t>
      </w:r>
    </w:p>
    <w:p w14:paraId="380C3212" w14:textId="77777777" w:rsidR="0079376A" w:rsidRPr="0054344B" w:rsidRDefault="0079376A" w:rsidP="00130435">
      <w:pPr>
        <w:pStyle w:val="ColorfulList-Accent11"/>
        <w:numPr>
          <w:ilvl w:val="0"/>
          <w:numId w:val="4"/>
        </w:numPr>
        <w:spacing w:after="200"/>
        <w:jc w:val="both"/>
        <w:rPr>
          <w:rFonts w:ascii="Times New Roman" w:hAnsi="Times New Roman"/>
          <w:i/>
          <w:sz w:val="28"/>
          <w:szCs w:val="28"/>
          <w:lang w:val="en-GB"/>
        </w:rPr>
      </w:pPr>
      <w:r w:rsidRPr="0054344B">
        <w:rPr>
          <w:rFonts w:ascii="Times New Roman" w:hAnsi="Times New Roman"/>
          <w:i/>
          <w:sz w:val="28"/>
          <w:szCs w:val="28"/>
          <w:lang w:val="en-GB"/>
        </w:rPr>
        <w:t>Dependent variable Tobin’s Q: firm value</w:t>
      </w:r>
    </w:p>
    <w:p w14:paraId="46E9B82D" w14:textId="77777777" w:rsidR="00DA4F23" w:rsidRPr="0054344B" w:rsidRDefault="0079376A" w:rsidP="00E25502">
      <w:pPr>
        <w:pStyle w:val="PSLeipis"/>
      </w:pPr>
      <w:r w:rsidRPr="0054344B">
        <w:t>The dependent variable in this study is firm value, which h</w:t>
      </w:r>
      <w:r w:rsidR="005E3FF3" w:rsidRPr="0054344B">
        <w:t>as also been used in several prior studies;</w:t>
      </w:r>
      <w:r w:rsidRPr="0054344B">
        <w:t xml:space="preserve"> for example</w:t>
      </w:r>
      <w:r w:rsidR="005E3FF3" w:rsidRPr="0054344B">
        <w:t>,</w:t>
      </w:r>
      <w:r w:rsidRPr="0054344B">
        <w:t xml:space="preserve"> (Agrawal and </w:t>
      </w:r>
      <w:proofErr w:type="spellStart"/>
      <w:r w:rsidRPr="0054344B">
        <w:t>Knoeber</w:t>
      </w:r>
      <w:proofErr w:type="spellEnd"/>
      <w:r w:rsidRPr="0054344B">
        <w:t xml:space="preserve">, 1996; </w:t>
      </w:r>
      <w:proofErr w:type="spellStart"/>
      <w:r w:rsidRPr="0054344B">
        <w:t>Yermack</w:t>
      </w:r>
      <w:proofErr w:type="spellEnd"/>
      <w:r w:rsidRPr="0054344B">
        <w:t xml:space="preserve">, 1996; Gompers et al., 2003; </w:t>
      </w:r>
      <w:proofErr w:type="spellStart"/>
      <w:r w:rsidRPr="0054344B">
        <w:t>Klapper</w:t>
      </w:r>
      <w:proofErr w:type="spellEnd"/>
      <w:r w:rsidRPr="0054344B">
        <w:t xml:space="preserve"> and Love, 2004; </w:t>
      </w:r>
      <w:proofErr w:type="spellStart"/>
      <w:r w:rsidRPr="0054344B">
        <w:t>Beiner</w:t>
      </w:r>
      <w:proofErr w:type="spellEnd"/>
      <w:r w:rsidRPr="0054344B">
        <w:t xml:space="preserve"> et al., 2006; Black et al., 2006; </w:t>
      </w:r>
      <w:proofErr w:type="spellStart"/>
      <w:r w:rsidRPr="0054344B">
        <w:t>Haniffa</w:t>
      </w:r>
      <w:proofErr w:type="spellEnd"/>
      <w:r w:rsidRPr="0054344B">
        <w:t xml:space="preserve"> and </w:t>
      </w:r>
      <w:proofErr w:type="spellStart"/>
      <w:r w:rsidRPr="0054344B">
        <w:t>Hudaib</w:t>
      </w:r>
      <w:proofErr w:type="spellEnd"/>
      <w:r w:rsidRPr="0054344B">
        <w:t xml:space="preserve">, 2006; Henry, 2008; Guest, 2009; </w:t>
      </w:r>
      <w:proofErr w:type="spellStart"/>
      <w:r w:rsidRPr="0054344B">
        <w:t>Ntim</w:t>
      </w:r>
      <w:proofErr w:type="spellEnd"/>
      <w:r w:rsidRPr="0054344B">
        <w:t xml:space="preserve"> et al., 2015;</w:t>
      </w:r>
      <w:r w:rsidRPr="0054344B">
        <w:rPr>
          <w:sz w:val="20"/>
          <w:szCs w:val="20"/>
        </w:rPr>
        <w:t xml:space="preserve"> </w:t>
      </w:r>
      <w:r w:rsidRPr="0054344B">
        <w:t xml:space="preserve">Krause and </w:t>
      </w:r>
      <w:proofErr w:type="spellStart"/>
      <w:r w:rsidRPr="0054344B">
        <w:t>Tse</w:t>
      </w:r>
      <w:proofErr w:type="spellEnd"/>
      <w:r w:rsidRPr="0054344B">
        <w:t xml:space="preserve">, 2016). Tobin’s Q represents </w:t>
      </w:r>
      <w:r w:rsidR="005E3FF3" w:rsidRPr="0054344B">
        <w:t xml:space="preserve">the </w:t>
      </w:r>
      <w:r w:rsidRPr="0054344B">
        <w:t>financial valuation of corporate governance stru</w:t>
      </w:r>
      <w:r w:rsidR="00ED4D12" w:rsidRPr="0054344B">
        <w:t xml:space="preserve">ctures by investors (outsiders), </w:t>
      </w:r>
      <w:r w:rsidRPr="0054344B">
        <w:t xml:space="preserve">(Lindenberg and Rose, 1981). </w:t>
      </w:r>
      <w:r w:rsidRPr="0054344B">
        <w:rPr>
          <w:w w:val="105"/>
        </w:rPr>
        <w:t>Tobin’s</w:t>
      </w:r>
      <w:r w:rsidRPr="0054344B">
        <w:rPr>
          <w:spacing w:val="-6"/>
          <w:w w:val="105"/>
        </w:rPr>
        <w:t xml:space="preserve"> </w:t>
      </w:r>
      <w:r w:rsidRPr="0054344B">
        <w:rPr>
          <w:w w:val="105"/>
        </w:rPr>
        <w:t>Q is measured as</w:t>
      </w:r>
      <w:r w:rsidRPr="0054344B">
        <w:t xml:space="preserve"> the ratio of total assets minus </w:t>
      </w:r>
      <w:r w:rsidR="00C11A97" w:rsidRPr="0054344B">
        <w:t xml:space="preserve">the </w:t>
      </w:r>
      <w:r w:rsidRPr="0054344B">
        <w:t xml:space="preserve">book value of equity plus </w:t>
      </w:r>
      <w:r w:rsidR="00C11A97" w:rsidRPr="0054344B">
        <w:t xml:space="preserve">the </w:t>
      </w:r>
      <w:r w:rsidRPr="0054344B">
        <w:t xml:space="preserve">market value of equity to total assets (Chung and Pruitt 1994, </w:t>
      </w:r>
      <w:proofErr w:type="spellStart"/>
      <w:r w:rsidRPr="0054344B">
        <w:t>Beiner</w:t>
      </w:r>
      <w:proofErr w:type="spellEnd"/>
      <w:r w:rsidRPr="0054344B">
        <w:t xml:space="preserve"> et al., 2006). Table 2 </w:t>
      </w:r>
      <w:r w:rsidR="00515A17" w:rsidRPr="0054344B">
        <w:t xml:space="preserve">in the appendix </w:t>
      </w:r>
      <w:r w:rsidRPr="0054344B">
        <w:t>define</w:t>
      </w:r>
      <w:r w:rsidR="005E3FF3" w:rsidRPr="0054344B">
        <w:t>s</w:t>
      </w:r>
      <w:r w:rsidRPr="0054344B">
        <w:t xml:space="preserve"> Tobin’s Q.</w:t>
      </w:r>
    </w:p>
    <w:p w14:paraId="0F4B75CF" w14:textId="77777777" w:rsidR="0079376A" w:rsidRPr="0054344B" w:rsidRDefault="0079376A" w:rsidP="00130435">
      <w:pPr>
        <w:pStyle w:val="ColorfulList-Accent11"/>
        <w:numPr>
          <w:ilvl w:val="0"/>
          <w:numId w:val="5"/>
        </w:numPr>
        <w:spacing w:after="200"/>
        <w:jc w:val="both"/>
        <w:rPr>
          <w:rFonts w:ascii="Times New Roman" w:hAnsi="Times New Roman"/>
          <w:i/>
          <w:sz w:val="28"/>
          <w:szCs w:val="28"/>
          <w:lang w:val="en-GB"/>
        </w:rPr>
      </w:pPr>
      <w:r w:rsidRPr="0054344B">
        <w:rPr>
          <w:rFonts w:ascii="Times New Roman" w:hAnsi="Times New Roman"/>
          <w:i/>
          <w:sz w:val="28"/>
          <w:szCs w:val="28"/>
          <w:lang w:val="en-GB"/>
        </w:rPr>
        <w:t>The control variables</w:t>
      </w:r>
    </w:p>
    <w:p w14:paraId="5CF34969" w14:textId="77777777" w:rsidR="0079376A" w:rsidRPr="0054344B" w:rsidRDefault="0079376A" w:rsidP="00DC41C4">
      <w:pPr>
        <w:pStyle w:val="PSLeipis"/>
      </w:pPr>
      <w:r w:rsidRPr="0054344B">
        <w:t>To reduce potential om</w:t>
      </w:r>
      <w:r w:rsidR="00ED4D12" w:rsidRPr="0054344B">
        <w:t>itted variable bias, several</w:t>
      </w:r>
      <w:r w:rsidRPr="0054344B">
        <w:t xml:space="preserve"> control variables have </w:t>
      </w:r>
      <w:r w:rsidR="005E3FF3" w:rsidRPr="0054344B">
        <w:t xml:space="preserve">been selected: </w:t>
      </w:r>
      <w:r w:rsidR="008A0C44" w:rsidRPr="0054344B">
        <w:t>g</w:t>
      </w:r>
      <w:r w:rsidR="005E3FF3" w:rsidRPr="0054344B">
        <w:t>rowth</w:t>
      </w:r>
      <w:r w:rsidR="00515A17" w:rsidRPr="0054344B">
        <w:t xml:space="preserve"> (GROWTH)</w:t>
      </w:r>
      <w:r w:rsidR="005E3FF3" w:rsidRPr="0054344B">
        <w:t xml:space="preserve">, </w:t>
      </w:r>
      <w:r w:rsidR="008A0C44" w:rsidRPr="0054344B">
        <w:t>c</w:t>
      </w:r>
      <w:r w:rsidR="005E3FF3" w:rsidRPr="0054344B">
        <w:t xml:space="preserve">apital </w:t>
      </w:r>
      <w:r w:rsidR="008A0C44" w:rsidRPr="0054344B">
        <w:t>s</w:t>
      </w:r>
      <w:r w:rsidR="005E3FF3" w:rsidRPr="0054344B">
        <w:t xml:space="preserve">tructure (LEV), </w:t>
      </w:r>
      <w:r w:rsidR="008A0C44" w:rsidRPr="0054344B">
        <w:t>f</w:t>
      </w:r>
      <w:r w:rsidR="005E3FF3" w:rsidRPr="0054344B">
        <w:t xml:space="preserve">irm </w:t>
      </w:r>
      <w:r w:rsidR="008A0C44" w:rsidRPr="0054344B">
        <w:t>s</w:t>
      </w:r>
      <w:r w:rsidR="005E3FF3" w:rsidRPr="0054344B">
        <w:t xml:space="preserve">ize (FSIZE), Big4; </w:t>
      </w:r>
      <w:r w:rsidR="008A0C44" w:rsidRPr="0054344B">
        <w:lastRenderedPageBreak/>
        <w:t>f</w:t>
      </w:r>
      <w:r w:rsidR="005E3FF3" w:rsidRPr="0054344B">
        <w:t xml:space="preserve">irms </w:t>
      </w:r>
      <w:r w:rsidR="008A0C44" w:rsidRPr="0054344B">
        <w:t>c</w:t>
      </w:r>
      <w:r w:rsidRPr="0054344B">
        <w:t>ross-listed (</w:t>
      </w:r>
      <w:r w:rsidR="00515A17" w:rsidRPr="0054344B">
        <w:t>DUAL</w:t>
      </w:r>
      <w:r w:rsidR="00ED4D12" w:rsidRPr="0054344B">
        <w:t>),</w:t>
      </w:r>
      <w:r w:rsidR="005E3FF3" w:rsidRPr="0054344B">
        <w:t xml:space="preserve"> </w:t>
      </w:r>
      <w:r w:rsidR="008A0C44" w:rsidRPr="0054344B">
        <w:t>i</w:t>
      </w:r>
      <w:r w:rsidR="005E3FF3" w:rsidRPr="0054344B">
        <w:t xml:space="preserve">ndustry (IND) and </w:t>
      </w:r>
      <w:r w:rsidR="008A0C44" w:rsidRPr="0054344B">
        <w:t>y</w:t>
      </w:r>
      <w:r w:rsidR="005E3FF3" w:rsidRPr="0054344B">
        <w:t xml:space="preserve">ear </w:t>
      </w:r>
      <w:r w:rsidR="008A0C44" w:rsidRPr="0054344B">
        <w:t>d</w:t>
      </w:r>
      <w:r w:rsidR="00515A17" w:rsidRPr="0054344B">
        <w:t>ummies (YED</w:t>
      </w:r>
      <w:r w:rsidRPr="0054344B">
        <w:t xml:space="preserve">). These control variables were also </w:t>
      </w:r>
      <w:r w:rsidR="00094D53" w:rsidRPr="0054344B">
        <w:t xml:space="preserve">previously </w:t>
      </w:r>
      <w:r w:rsidRPr="0054344B">
        <w:t xml:space="preserve">used by other empirical studies (see, for example, </w:t>
      </w:r>
      <w:proofErr w:type="spellStart"/>
      <w:r w:rsidRPr="0054344B">
        <w:t>Chenhall</w:t>
      </w:r>
      <w:proofErr w:type="spellEnd"/>
      <w:r w:rsidRPr="0054344B">
        <w:t xml:space="preserve"> and Moers, 2007; van Lent, 2007; Larker and </w:t>
      </w:r>
      <w:proofErr w:type="spellStart"/>
      <w:r w:rsidRPr="0054344B">
        <w:t>Rusticus</w:t>
      </w:r>
      <w:proofErr w:type="spellEnd"/>
      <w:r w:rsidRPr="0054344B">
        <w:t xml:space="preserve">, 2008; Black et al., 2006; Henry, 2008; Gompers et al., 2003; </w:t>
      </w:r>
      <w:proofErr w:type="spellStart"/>
      <w:r w:rsidRPr="0054344B">
        <w:t>Klapper</w:t>
      </w:r>
      <w:proofErr w:type="spellEnd"/>
      <w:r w:rsidRPr="0054344B">
        <w:t xml:space="preserve"> and Love, 2004; </w:t>
      </w:r>
      <w:proofErr w:type="spellStart"/>
      <w:r w:rsidRPr="0054344B">
        <w:t>Haniffa</w:t>
      </w:r>
      <w:proofErr w:type="spellEnd"/>
      <w:r w:rsidRPr="0054344B">
        <w:t xml:space="preserve"> and </w:t>
      </w:r>
      <w:proofErr w:type="spellStart"/>
      <w:r w:rsidRPr="0054344B">
        <w:t>Hudaib</w:t>
      </w:r>
      <w:proofErr w:type="spellEnd"/>
      <w:r w:rsidRPr="0054344B">
        <w:t xml:space="preserve">, 2006; Guest, 2009; </w:t>
      </w:r>
      <w:proofErr w:type="spellStart"/>
      <w:r w:rsidRPr="0054344B">
        <w:t>Ntim</w:t>
      </w:r>
      <w:proofErr w:type="spellEnd"/>
      <w:r w:rsidRPr="0054344B">
        <w:t xml:space="preserve"> et al., 2015). Table 2 in the appendix defines all the control variables.</w:t>
      </w:r>
    </w:p>
    <w:p w14:paraId="7C54185C" w14:textId="77777777" w:rsidR="0079376A" w:rsidRPr="0054344B" w:rsidRDefault="0079376A" w:rsidP="00130435">
      <w:pPr>
        <w:autoSpaceDE w:val="0"/>
        <w:autoSpaceDN w:val="0"/>
        <w:adjustRightInd w:val="0"/>
        <w:jc w:val="center"/>
        <w:rPr>
          <w:b/>
          <w:bCs/>
          <w:noProof w:val="0"/>
        </w:rPr>
      </w:pPr>
    </w:p>
    <w:p w14:paraId="41376BBF" w14:textId="77777777" w:rsidR="0079376A" w:rsidRPr="0054344B" w:rsidRDefault="0079376A" w:rsidP="00130435">
      <w:pPr>
        <w:autoSpaceDE w:val="0"/>
        <w:autoSpaceDN w:val="0"/>
        <w:adjustRightInd w:val="0"/>
        <w:jc w:val="center"/>
        <w:rPr>
          <w:b/>
          <w:bCs/>
          <w:noProof w:val="0"/>
        </w:rPr>
      </w:pPr>
      <w:r w:rsidRPr="0054344B">
        <w:rPr>
          <w:b/>
          <w:bCs/>
          <w:noProof w:val="0"/>
        </w:rPr>
        <w:t xml:space="preserve"> [INSERT TABLE 2 HERE]</w:t>
      </w:r>
    </w:p>
    <w:p w14:paraId="132E8B4D" w14:textId="5903121A" w:rsidR="0079376A" w:rsidRPr="0054344B" w:rsidRDefault="0079376A" w:rsidP="00E25502">
      <w:pPr>
        <w:pStyle w:val="Heading2"/>
      </w:pPr>
      <w:r w:rsidRPr="0054344B">
        <w:t xml:space="preserve">3.3 </w:t>
      </w:r>
      <w:r w:rsidR="00E25502">
        <w:tab/>
      </w:r>
      <w:r w:rsidRPr="0054344B">
        <w:t>Data description</w:t>
      </w:r>
    </w:p>
    <w:p w14:paraId="2DACFCD2" w14:textId="77E5E52D" w:rsidR="00C56C7D" w:rsidRPr="00143032" w:rsidRDefault="0079376A" w:rsidP="00143032">
      <w:pPr>
        <w:pStyle w:val="PSLeipis"/>
      </w:pPr>
      <w:r w:rsidRPr="0054344B">
        <w:t>Table 3</w:t>
      </w:r>
      <w:r w:rsidR="00714499" w:rsidRPr="0054344B">
        <w:t xml:space="preserve"> in the appendix</w:t>
      </w:r>
      <w:r w:rsidRPr="0054344B">
        <w:t xml:space="preserve"> presents full descriptive statistics of all variables used in conducting the empirical test.</w:t>
      </w:r>
      <w:r w:rsidRPr="0054344B">
        <w:rPr>
          <w:color w:val="1A1A1A"/>
        </w:rPr>
        <w:t xml:space="preserve"> </w:t>
      </w:r>
      <w:r w:rsidRPr="0054344B">
        <w:t>The descriptive sta</w:t>
      </w:r>
      <w:r w:rsidR="005E3FF3" w:rsidRPr="0054344B">
        <w:t>tistics were calculated</w:t>
      </w:r>
      <w:r w:rsidRPr="0054344B">
        <w:t xml:space="preserve"> to ascertain the distribution of all the variables and their normality.</w:t>
      </w:r>
      <w:r w:rsidRPr="0054344B">
        <w:rPr>
          <w:i/>
        </w:rPr>
        <w:t xml:space="preserve"> </w:t>
      </w:r>
      <w:r w:rsidRPr="0054344B">
        <w:t>All the empirical figures generally s</w:t>
      </w:r>
      <w:r w:rsidR="00C56C7D" w:rsidRPr="0054344B">
        <w:t xml:space="preserve">uggest a wide variation </w:t>
      </w:r>
      <w:r w:rsidRPr="0054344B">
        <w:t>similar to prior findings</w:t>
      </w:r>
      <w:r w:rsidR="00C56C7D" w:rsidRPr="0054344B">
        <w:t xml:space="preserve"> reported in the literature </w:t>
      </w:r>
      <w:r w:rsidR="00094D53" w:rsidRPr="0054344B">
        <w:t xml:space="preserve">by, for example, </w:t>
      </w:r>
      <w:proofErr w:type="spellStart"/>
      <w:r w:rsidRPr="0054344B">
        <w:t>Beiner</w:t>
      </w:r>
      <w:proofErr w:type="spellEnd"/>
      <w:r w:rsidRPr="0054344B">
        <w:t xml:space="preserve"> et al. (2006), Henry (2008), Guest (2009) and </w:t>
      </w:r>
      <w:proofErr w:type="spellStart"/>
      <w:r w:rsidRPr="0054344B">
        <w:t>Ntim</w:t>
      </w:r>
      <w:proofErr w:type="spellEnd"/>
      <w:r w:rsidRPr="0054344B">
        <w:t xml:space="preserve"> (2013). For instance, the minimum of Tobin’s Q is 0.00, the maximum is 72.3 and the average is 10.5.</w:t>
      </w:r>
      <w:r w:rsidR="00C56C7D" w:rsidRPr="0054344B">
        <w:t xml:space="preserve"> The standard deviation value indicates a wide variation consistent </w:t>
      </w:r>
      <w:r w:rsidRPr="0054344B">
        <w:t>with prior empirical studies (</w:t>
      </w:r>
      <w:proofErr w:type="spellStart"/>
      <w:r w:rsidRPr="0054344B">
        <w:t>Ntim</w:t>
      </w:r>
      <w:proofErr w:type="spellEnd"/>
      <w:r w:rsidRPr="0054344B">
        <w:t>, 2013).</w:t>
      </w:r>
      <w:r w:rsidR="00143032">
        <w:t xml:space="preserve"> We will not report the Mean, Media and S</w:t>
      </w:r>
      <w:r w:rsidR="00143032" w:rsidRPr="009201E7">
        <w:t xml:space="preserve">tandard </w:t>
      </w:r>
      <w:r w:rsidR="00143032">
        <w:t>D</w:t>
      </w:r>
      <w:r w:rsidR="00143032" w:rsidRPr="009201E7">
        <w:t>eviations</w:t>
      </w:r>
      <w:r w:rsidR="00143032">
        <w:t xml:space="preserve"> for all dummy variables used. for example; (Big4, </w:t>
      </w:r>
      <w:r w:rsidR="00143032" w:rsidRPr="009201E7">
        <w:t>DUAL</w:t>
      </w:r>
      <w:r w:rsidR="00143032">
        <w:t xml:space="preserve"> and IND</w:t>
      </w:r>
      <w:r w:rsidR="00143032" w:rsidRPr="009201E7">
        <w:t>) under the descriptive statistic section.</w:t>
      </w:r>
    </w:p>
    <w:p w14:paraId="606BC6AD" w14:textId="77777777" w:rsidR="0079376A" w:rsidRPr="0054344B" w:rsidRDefault="0079376A" w:rsidP="00130435">
      <w:pPr>
        <w:autoSpaceDE w:val="0"/>
        <w:autoSpaceDN w:val="0"/>
        <w:adjustRightInd w:val="0"/>
        <w:jc w:val="center"/>
        <w:rPr>
          <w:b/>
          <w:bCs/>
          <w:noProof w:val="0"/>
        </w:rPr>
      </w:pPr>
      <w:r w:rsidRPr="0054344B">
        <w:rPr>
          <w:b/>
          <w:bCs/>
          <w:noProof w:val="0"/>
        </w:rPr>
        <w:t>[INSERT TABLE 3 HERE]</w:t>
      </w:r>
    </w:p>
    <w:p w14:paraId="390BDA02" w14:textId="62E86CB1" w:rsidR="0079376A" w:rsidRPr="0054344B" w:rsidRDefault="00E25502" w:rsidP="00143032">
      <w:pPr>
        <w:pStyle w:val="Heading2"/>
        <w:ind w:left="0" w:firstLine="0"/>
      </w:pPr>
      <w:r>
        <w:t>3.4</w:t>
      </w:r>
      <w:r>
        <w:tab/>
      </w:r>
      <w:r w:rsidR="0079376A" w:rsidRPr="0054344B">
        <w:t>Testing for Multicollinearity</w:t>
      </w:r>
      <w:bookmarkStart w:id="1" w:name="_GoBack"/>
      <w:bookmarkEnd w:id="1"/>
    </w:p>
    <w:p w14:paraId="16B74AC8" w14:textId="77777777" w:rsidR="0079376A" w:rsidRPr="0054344B" w:rsidRDefault="0079376A" w:rsidP="00E25502">
      <w:pPr>
        <w:pStyle w:val="PSLeipis"/>
      </w:pPr>
      <w:r w:rsidRPr="0054344B">
        <w:t>One issue in multivariate statistica</w:t>
      </w:r>
      <w:r w:rsidR="00ED4D12" w:rsidRPr="0054344B">
        <w:t xml:space="preserve">l analysis is multicollinearity </w:t>
      </w:r>
      <w:r w:rsidRPr="0054344B">
        <w:t xml:space="preserve">(Hair et al. 2006). Multicollinearity relates to a case where there is a high </w:t>
      </w:r>
      <w:r w:rsidRPr="0054344B">
        <w:rPr>
          <w:lang w:val="en-US"/>
        </w:rPr>
        <w:t xml:space="preserve">correlation </w:t>
      </w:r>
      <w:r w:rsidR="00094D53" w:rsidRPr="0054344B">
        <w:rPr>
          <w:lang w:val="en-US"/>
        </w:rPr>
        <w:t xml:space="preserve">between </w:t>
      </w:r>
      <w:r w:rsidRPr="0054344B">
        <w:rPr>
          <w:lang w:val="en-US"/>
        </w:rPr>
        <w:t>all the independent variables with the dependent variables</w:t>
      </w:r>
      <w:r w:rsidRPr="0054344B">
        <w:t xml:space="preserve"> in a regression model (Kline 1998;</w:t>
      </w:r>
      <w:r w:rsidRPr="0054344B">
        <w:rPr>
          <w:rFonts w:eastAsiaTheme="minorHAnsi"/>
          <w:lang w:val="en-US" w:eastAsia="en-US"/>
        </w:rPr>
        <w:t xml:space="preserve"> Karim et al. 2013)</w:t>
      </w:r>
      <w:r w:rsidR="0053495D" w:rsidRPr="0054344B">
        <w:t>. When this situation arise</w:t>
      </w:r>
      <w:r w:rsidRPr="0054344B">
        <w:t>s, it can create instability in the regression outcome and therefore the</w:t>
      </w:r>
      <w:r w:rsidR="0053495D" w:rsidRPr="0054344B">
        <w:t xml:space="preserve">re is a need to control </w:t>
      </w:r>
      <w:r w:rsidRPr="0054344B">
        <w:t>this in the regression model. According to Hair et al. (1998), the correlation between any two pairs of explanatory variables should not be greater than 0.80. In testing for multicollinearity in this research a Pearson Correlation Matrix was examined and the results indicate</w:t>
      </w:r>
      <w:r w:rsidR="00ED4D12" w:rsidRPr="0054344B">
        <w:t>d no high correlation</w:t>
      </w:r>
      <w:r w:rsidRPr="0054344B">
        <w:t>. Table 4 in the appendix indicate</w:t>
      </w:r>
      <w:r w:rsidR="0053495D" w:rsidRPr="0054344B">
        <w:t>s</w:t>
      </w:r>
      <w:r w:rsidRPr="0054344B">
        <w:t xml:space="preserve"> the </w:t>
      </w:r>
      <w:r w:rsidRPr="0054344B">
        <w:rPr>
          <w:lang w:val="en-US"/>
        </w:rPr>
        <w:t>absence of multicollinerarity</w:t>
      </w:r>
      <w:r w:rsidRPr="0054344B">
        <w:t xml:space="preserve"> (Hair et al., 1998; Kline 1998;</w:t>
      </w:r>
      <w:r w:rsidRPr="0054344B">
        <w:rPr>
          <w:rFonts w:eastAsiaTheme="minorHAnsi"/>
          <w:lang w:val="en-US" w:eastAsia="en-US"/>
        </w:rPr>
        <w:t xml:space="preserve"> Karim et al. 2013</w:t>
      </w:r>
      <w:r w:rsidRPr="0054344B">
        <w:t>). T</w:t>
      </w:r>
      <w:r w:rsidR="00ED4D12" w:rsidRPr="0054344B">
        <w:t>he Pearson Correlation M</w:t>
      </w:r>
      <w:r w:rsidRPr="0054344B">
        <w:t xml:space="preserve">atrix in </w:t>
      </w:r>
      <w:r w:rsidR="00303818" w:rsidRPr="0054344B">
        <w:t xml:space="preserve">Table </w:t>
      </w:r>
      <w:r w:rsidRPr="0054344B">
        <w:t xml:space="preserve">4 indicates </w:t>
      </w:r>
      <w:r w:rsidRPr="0054344B">
        <w:lastRenderedPageBreak/>
        <w:t xml:space="preserve">that </w:t>
      </w:r>
      <w:r w:rsidR="00094D53" w:rsidRPr="0054344B">
        <w:t xml:space="preserve">an </w:t>
      </w:r>
      <w:r w:rsidRPr="0054344B">
        <w:t>AC</w:t>
      </w:r>
      <w:r w:rsidR="00094D53" w:rsidRPr="0054344B">
        <w:t xml:space="preserve"> is </w:t>
      </w:r>
      <w:r w:rsidRPr="0054344B">
        <w:t xml:space="preserve">positive and statistically significant to </w:t>
      </w:r>
      <w:r w:rsidR="00094D53" w:rsidRPr="0054344B">
        <w:t xml:space="preserve">a </w:t>
      </w:r>
      <w:r w:rsidRPr="0054344B">
        <w:t>firm’s value (Tobin’s Q). Likewise, AC indicates a positive and significant impact on LEV and</w:t>
      </w:r>
      <w:r w:rsidR="00C734B6" w:rsidRPr="0054344B">
        <w:t xml:space="preserve"> FSIZE</w:t>
      </w:r>
      <w:r w:rsidRPr="0054344B">
        <w:t>.</w:t>
      </w:r>
    </w:p>
    <w:p w14:paraId="10BC9C26" w14:textId="62481B89" w:rsidR="0079376A" w:rsidRPr="0054344B" w:rsidRDefault="0079376A" w:rsidP="00130435">
      <w:pPr>
        <w:autoSpaceDE w:val="0"/>
        <w:autoSpaceDN w:val="0"/>
        <w:adjustRightInd w:val="0"/>
        <w:jc w:val="center"/>
        <w:rPr>
          <w:b/>
          <w:bCs/>
          <w:noProof w:val="0"/>
        </w:rPr>
      </w:pPr>
    </w:p>
    <w:p w14:paraId="2EBF07D7" w14:textId="77777777" w:rsidR="0079376A" w:rsidRPr="0054344B" w:rsidRDefault="0079376A" w:rsidP="00130435">
      <w:pPr>
        <w:autoSpaceDE w:val="0"/>
        <w:autoSpaceDN w:val="0"/>
        <w:adjustRightInd w:val="0"/>
        <w:jc w:val="center"/>
        <w:rPr>
          <w:b/>
          <w:bCs/>
          <w:noProof w:val="0"/>
        </w:rPr>
      </w:pPr>
      <w:r w:rsidRPr="0054344B">
        <w:rPr>
          <w:b/>
          <w:bCs/>
          <w:noProof w:val="0"/>
        </w:rPr>
        <w:t xml:space="preserve"> [INSERT TABLE 4 HERE]</w:t>
      </w:r>
    </w:p>
    <w:p w14:paraId="04315889" w14:textId="14497CC1" w:rsidR="0079376A" w:rsidRPr="0054344B" w:rsidRDefault="0079376A" w:rsidP="00E25502">
      <w:pPr>
        <w:pStyle w:val="Heading1"/>
      </w:pPr>
      <w:r w:rsidRPr="0054344B">
        <w:t>Empirical Findings</w:t>
      </w:r>
    </w:p>
    <w:p w14:paraId="47D15057" w14:textId="0C7C7D8C" w:rsidR="0079376A" w:rsidRPr="0054344B" w:rsidRDefault="0079376A" w:rsidP="00E25502">
      <w:pPr>
        <w:pStyle w:val="Heading2"/>
      </w:pPr>
      <w:r w:rsidRPr="0054344B">
        <w:rPr>
          <w:rFonts w:ascii="Calibri Light" w:hAnsi="Calibri Light"/>
        </w:rPr>
        <w:t>4</w:t>
      </w:r>
      <w:r w:rsidRPr="0054344B">
        <w:t xml:space="preserve">.1 </w:t>
      </w:r>
      <w:r w:rsidR="00E25502">
        <w:tab/>
      </w:r>
      <w:r w:rsidRPr="0054344B">
        <w:t>Results</w:t>
      </w:r>
    </w:p>
    <w:p w14:paraId="4403F518" w14:textId="77777777" w:rsidR="0079376A" w:rsidRPr="0054344B" w:rsidRDefault="0079376A" w:rsidP="00E25502">
      <w:pPr>
        <w:pStyle w:val="PSLeipis"/>
      </w:pPr>
      <w:r w:rsidRPr="0054344B">
        <w:t xml:space="preserve">As indicated in the motivation for the study, this study seeks to: </w:t>
      </w:r>
    </w:p>
    <w:p w14:paraId="66DE6B3D" w14:textId="77777777" w:rsidR="0079376A" w:rsidRPr="00E25502" w:rsidRDefault="008F6B46" w:rsidP="00E25502">
      <w:pPr>
        <w:numPr>
          <w:ilvl w:val="0"/>
          <w:numId w:val="1"/>
        </w:numPr>
        <w:autoSpaceDE w:val="0"/>
        <w:autoSpaceDN w:val="0"/>
        <w:adjustRightInd w:val="0"/>
        <w:spacing w:line="340" w:lineRule="atLeast"/>
        <w:ind w:left="568" w:hanging="284"/>
        <w:jc w:val="both"/>
        <w:rPr>
          <w:noProof w:val="0"/>
          <w:sz w:val="26"/>
          <w:szCs w:val="26"/>
        </w:rPr>
      </w:pPr>
      <w:r w:rsidRPr="00E25502">
        <w:rPr>
          <w:noProof w:val="0"/>
          <w:sz w:val="26"/>
          <w:szCs w:val="26"/>
        </w:rPr>
        <w:t>E</w:t>
      </w:r>
      <w:r w:rsidR="0079376A" w:rsidRPr="00E25502">
        <w:rPr>
          <w:noProof w:val="0"/>
          <w:sz w:val="26"/>
          <w:szCs w:val="26"/>
        </w:rPr>
        <w:t xml:space="preserve">xamine the impact of </w:t>
      </w:r>
      <w:r w:rsidR="0079376A" w:rsidRPr="00E25502">
        <w:rPr>
          <w:noProof w:val="0"/>
          <w:color w:val="000000"/>
          <w:sz w:val="26"/>
          <w:szCs w:val="26"/>
        </w:rPr>
        <w:t>AC</w:t>
      </w:r>
      <w:r w:rsidR="0079376A" w:rsidRPr="00E25502">
        <w:rPr>
          <w:noProof w:val="0"/>
          <w:sz w:val="26"/>
          <w:szCs w:val="26"/>
        </w:rPr>
        <w:t xml:space="preserve"> adoption on UK financial institutions.</w:t>
      </w:r>
    </w:p>
    <w:p w14:paraId="7DC4F4F9" w14:textId="77777777" w:rsidR="0079376A" w:rsidRPr="00E25502" w:rsidRDefault="0079376A" w:rsidP="00E25502">
      <w:pPr>
        <w:numPr>
          <w:ilvl w:val="0"/>
          <w:numId w:val="1"/>
        </w:numPr>
        <w:autoSpaceDE w:val="0"/>
        <w:autoSpaceDN w:val="0"/>
        <w:adjustRightInd w:val="0"/>
        <w:spacing w:after="200" w:line="340" w:lineRule="atLeast"/>
        <w:ind w:left="568" w:hanging="284"/>
        <w:jc w:val="both"/>
        <w:rPr>
          <w:noProof w:val="0"/>
          <w:sz w:val="26"/>
          <w:szCs w:val="26"/>
        </w:rPr>
      </w:pPr>
      <w:r w:rsidRPr="00E25502">
        <w:rPr>
          <w:noProof w:val="0"/>
          <w:sz w:val="26"/>
          <w:szCs w:val="26"/>
        </w:rPr>
        <w:t xml:space="preserve">Provide empirical evidence regarding the effect of </w:t>
      </w:r>
      <w:r w:rsidR="009E64B6" w:rsidRPr="00E25502">
        <w:rPr>
          <w:noProof w:val="0"/>
          <w:sz w:val="26"/>
          <w:szCs w:val="26"/>
        </w:rPr>
        <w:t xml:space="preserve">the </w:t>
      </w:r>
      <w:r w:rsidRPr="00E25502">
        <w:rPr>
          <w:noProof w:val="0"/>
          <w:sz w:val="26"/>
          <w:szCs w:val="26"/>
        </w:rPr>
        <w:t xml:space="preserve">adoption </w:t>
      </w:r>
      <w:r w:rsidR="009E64B6" w:rsidRPr="00E25502">
        <w:rPr>
          <w:noProof w:val="0"/>
          <w:sz w:val="26"/>
          <w:szCs w:val="26"/>
        </w:rPr>
        <w:t xml:space="preserve">of ACs </w:t>
      </w:r>
      <w:r w:rsidRPr="00E25502">
        <w:rPr>
          <w:noProof w:val="0"/>
          <w:sz w:val="26"/>
          <w:szCs w:val="26"/>
        </w:rPr>
        <w:t xml:space="preserve">by UK financial institutions during the 2007/2008 global financial crisis. The performance of financial institutions during the crisis period was critical </w:t>
      </w:r>
      <w:r w:rsidR="00094D53" w:rsidRPr="00E25502">
        <w:rPr>
          <w:noProof w:val="0"/>
          <w:sz w:val="26"/>
          <w:szCs w:val="26"/>
        </w:rPr>
        <w:t xml:space="preserve">for </w:t>
      </w:r>
      <w:r w:rsidRPr="00E25502">
        <w:rPr>
          <w:noProof w:val="0"/>
          <w:sz w:val="26"/>
          <w:szCs w:val="26"/>
        </w:rPr>
        <w:t>the entire economy.</w:t>
      </w:r>
    </w:p>
    <w:p w14:paraId="07F6F14B" w14:textId="77777777" w:rsidR="0079376A" w:rsidRPr="0054344B" w:rsidRDefault="00ED4D12" w:rsidP="00E25502">
      <w:pPr>
        <w:pStyle w:val="PSLeipis"/>
      </w:pPr>
      <w:r w:rsidRPr="0054344B">
        <w:t>T</w:t>
      </w:r>
      <w:r w:rsidR="0079376A" w:rsidRPr="0054344B">
        <w:t>o achieve these objectives, the analysis has been divided into two. The first objective will use the entire data covering the whole sample period (2000 to 2011). The second analysis will split the data into two sub-groups. The first part will cover the pre</w:t>
      </w:r>
      <w:r w:rsidR="00094D53" w:rsidRPr="0054344B">
        <w:t>-</w:t>
      </w:r>
      <w:r w:rsidR="0079376A" w:rsidRPr="0054344B">
        <w:t xml:space="preserve">crisis period from 2000 to 2006 and the second part will cover </w:t>
      </w:r>
      <w:r w:rsidR="008F6B46" w:rsidRPr="0054344B">
        <w:t>the post-crisis period; that is</w:t>
      </w:r>
      <w:r w:rsidR="0079376A" w:rsidRPr="0054344B">
        <w:t xml:space="preserve"> from 2009 to 2011. We will exclude data from the 2007 and 2008 financial years from our second analysis since the financial crisis occurred during that period. This research will follow similar studies carried out by </w:t>
      </w:r>
      <w:proofErr w:type="spellStart"/>
      <w:r w:rsidR="0079376A" w:rsidRPr="0054344B">
        <w:t>Danso</w:t>
      </w:r>
      <w:proofErr w:type="spellEnd"/>
      <w:r w:rsidR="0079376A" w:rsidRPr="0054344B">
        <w:t xml:space="preserve"> and </w:t>
      </w:r>
      <w:proofErr w:type="spellStart"/>
      <w:r w:rsidR="0079376A" w:rsidRPr="0054344B">
        <w:t>Adomako</w:t>
      </w:r>
      <w:proofErr w:type="spellEnd"/>
      <w:r w:rsidR="0079376A" w:rsidRPr="0054344B">
        <w:t xml:space="preserve"> (2014) and Mintah (2015).</w:t>
      </w:r>
    </w:p>
    <w:p w14:paraId="3E85FC3A" w14:textId="77777777" w:rsidR="00DC41C4" w:rsidRDefault="00DC41C4" w:rsidP="00130435">
      <w:pPr>
        <w:autoSpaceDE w:val="0"/>
        <w:autoSpaceDN w:val="0"/>
        <w:adjustRightInd w:val="0"/>
        <w:jc w:val="center"/>
        <w:rPr>
          <w:b/>
          <w:bCs/>
          <w:noProof w:val="0"/>
        </w:rPr>
      </w:pPr>
    </w:p>
    <w:p w14:paraId="27936F0A" w14:textId="6B6C8DBA" w:rsidR="0079376A" w:rsidRPr="0054344B" w:rsidRDefault="0079376A" w:rsidP="00130435">
      <w:pPr>
        <w:autoSpaceDE w:val="0"/>
        <w:autoSpaceDN w:val="0"/>
        <w:adjustRightInd w:val="0"/>
        <w:jc w:val="center"/>
        <w:rPr>
          <w:b/>
          <w:bCs/>
          <w:noProof w:val="0"/>
        </w:rPr>
      </w:pPr>
      <w:r w:rsidRPr="0054344B">
        <w:rPr>
          <w:b/>
          <w:bCs/>
          <w:noProof w:val="0"/>
        </w:rPr>
        <w:t>[INSERT TABLE 5 HERE]</w:t>
      </w:r>
    </w:p>
    <w:p w14:paraId="4891C58F" w14:textId="70C55403" w:rsidR="0079376A" w:rsidRPr="0054344B" w:rsidRDefault="00730659" w:rsidP="00E25502">
      <w:pPr>
        <w:pStyle w:val="Heading2"/>
      </w:pPr>
      <w:r w:rsidRPr="0054344B">
        <w:t>4.2</w:t>
      </w:r>
      <w:r w:rsidR="0079376A" w:rsidRPr="0054344B">
        <w:t xml:space="preserve"> </w:t>
      </w:r>
      <w:r w:rsidR="00E25502">
        <w:tab/>
      </w:r>
      <w:r w:rsidR="0079376A" w:rsidRPr="0054344B">
        <w:t>Empirical discussion 1</w:t>
      </w:r>
    </w:p>
    <w:p w14:paraId="1FCE7D6A" w14:textId="77777777" w:rsidR="0079376A" w:rsidRPr="0054344B" w:rsidRDefault="0079376A" w:rsidP="00E25502">
      <w:pPr>
        <w:pStyle w:val="PSLeipis"/>
      </w:pPr>
      <w:r w:rsidRPr="0054344B">
        <w:t xml:space="preserve">Table 5 in the appendix shows the </w:t>
      </w:r>
      <w:r w:rsidR="00094D53" w:rsidRPr="0054344B">
        <w:t>r</w:t>
      </w:r>
      <w:r w:rsidRPr="0054344B">
        <w:t xml:space="preserve">andom </w:t>
      </w:r>
      <w:r w:rsidR="00094D53" w:rsidRPr="0054344B">
        <w:t>e</w:t>
      </w:r>
      <w:r w:rsidRPr="0054344B">
        <w:t xml:space="preserve">ffects (RE) and the </w:t>
      </w:r>
      <w:r w:rsidR="00094D53" w:rsidRPr="0054344B">
        <w:t>f</w:t>
      </w:r>
      <w:r w:rsidRPr="0054344B">
        <w:t xml:space="preserve">ixed </w:t>
      </w:r>
      <w:r w:rsidR="00094D53" w:rsidRPr="0054344B">
        <w:t>e</w:t>
      </w:r>
      <w:r w:rsidRPr="0054344B">
        <w:t>f</w:t>
      </w:r>
      <w:r w:rsidR="008F6B46" w:rsidRPr="0054344B">
        <w:t>fects (FE) regression results of</w:t>
      </w:r>
      <w:r w:rsidRPr="0054344B">
        <w:t xml:space="preserve"> the establishment of an</w:t>
      </w:r>
      <w:r w:rsidRPr="0054344B">
        <w:rPr>
          <w:color w:val="000000"/>
        </w:rPr>
        <w:t xml:space="preserve"> AC</w:t>
      </w:r>
      <w:r w:rsidRPr="0054344B">
        <w:t xml:space="preserve"> and its impact on </w:t>
      </w:r>
      <w:r w:rsidR="00094D53" w:rsidRPr="0054344B">
        <w:t xml:space="preserve">a </w:t>
      </w:r>
      <w:r w:rsidRPr="0054344B">
        <w:t xml:space="preserve">firm’s Tobin’s Q. The essence of the two-regression model is to show consistency in the statistical results or outcome. The figures show the p-values and the coefficient of each of the variables under consideration. The regression shows 756 observations; the </w:t>
      </w:r>
      <w:r w:rsidRPr="0054344B">
        <w:rPr>
          <w:i/>
          <w:iCs/>
        </w:rPr>
        <w:t>R</w:t>
      </w:r>
      <w:r w:rsidRPr="0054344B">
        <w:rPr>
          <w:vertAlign w:val="superscript"/>
        </w:rPr>
        <w:t>2</w:t>
      </w:r>
      <w:r w:rsidRPr="0054344B">
        <w:t xml:space="preserve"> for the fixed effects is 0.130 and the p-values for both the random effects and fixed effects are all statistically significant in the regression model. </w:t>
      </w:r>
    </w:p>
    <w:p w14:paraId="4FADFB9C" w14:textId="77777777" w:rsidR="0079376A" w:rsidRPr="0054344B" w:rsidRDefault="0079376A" w:rsidP="00E25502">
      <w:pPr>
        <w:pStyle w:val="PSLeipis"/>
      </w:pPr>
      <w:r w:rsidRPr="0054344B">
        <w:lastRenderedPageBreak/>
        <w:t>In terms of the controls, th</w:t>
      </w:r>
      <w:r w:rsidR="008F6B46" w:rsidRPr="0054344B">
        <w:t>e empiri</w:t>
      </w:r>
      <w:r w:rsidR="005A30B6" w:rsidRPr="0054344B">
        <w:t>cal results indicate that GROWTH and DUAL</w:t>
      </w:r>
      <w:r w:rsidRPr="0054344B">
        <w:t xml:space="preserve"> have a positive and statistically significant effect on firm value as a measure of financial performance. This implies that, when firms have higher investment opportunities, they grow much faster and a fast-growing firm will ultimately have a better financial performance, as attested by earlier studies from </w:t>
      </w:r>
      <w:proofErr w:type="spellStart"/>
      <w:r w:rsidRPr="0054344B">
        <w:t>Durnev</w:t>
      </w:r>
      <w:proofErr w:type="spellEnd"/>
      <w:r w:rsidRPr="0054344B">
        <w:t xml:space="preserve"> and Kim (2005) and </w:t>
      </w:r>
      <w:proofErr w:type="spellStart"/>
      <w:r w:rsidRPr="0054344B">
        <w:t>Klapper</w:t>
      </w:r>
      <w:proofErr w:type="spellEnd"/>
      <w:r w:rsidRPr="0054344B">
        <w:t xml:space="preserve"> and Love (2004). In terms of </w:t>
      </w:r>
      <w:r w:rsidR="00094D53" w:rsidRPr="0054344B">
        <w:t xml:space="preserve">a </w:t>
      </w:r>
      <w:r w:rsidRPr="0054344B">
        <w:t>firm’s duality, the results mean that, when</w:t>
      </w:r>
      <w:r w:rsidR="00ED4D12" w:rsidRPr="0054344B">
        <w:t xml:space="preserve"> firms are dual-listed on </w:t>
      </w:r>
      <w:r w:rsidRPr="0054344B">
        <w:t>foreign exchanges, they are more likely to have better corporate governance structures because they are subject to the additional accounting, governance and disclosure requirements of those other foreign stock exchanges. When a firm is robust and faces additional requirements, it will help minimise certain risks and ensure a higher financial performance.</w:t>
      </w:r>
      <w:r w:rsidR="008F6B46" w:rsidRPr="0054344B">
        <w:t xml:space="preserve"> </w:t>
      </w:r>
      <w:r w:rsidR="008E5E45" w:rsidRPr="0054344B">
        <w:t>T</w:t>
      </w:r>
      <w:r w:rsidRPr="0054344B">
        <w:t>he use of</w:t>
      </w:r>
      <w:r w:rsidR="008E5E45" w:rsidRPr="0054344B">
        <w:t xml:space="preserve"> controls such as </w:t>
      </w:r>
      <w:r w:rsidR="00094D53" w:rsidRPr="0054344B">
        <w:t>c</w:t>
      </w:r>
      <w:r w:rsidR="008E5E45" w:rsidRPr="0054344B">
        <w:t>apital</w:t>
      </w:r>
      <w:r w:rsidR="008F6B46" w:rsidRPr="0054344B">
        <w:t xml:space="preserve"> </w:t>
      </w:r>
      <w:r w:rsidR="00094D53" w:rsidRPr="0054344B">
        <w:t>s</w:t>
      </w:r>
      <w:r w:rsidR="008F6B46" w:rsidRPr="0054344B">
        <w:t xml:space="preserve">tructure (LEV), </w:t>
      </w:r>
      <w:r w:rsidR="00094D53" w:rsidRPr="0054344B">
        <w:t>f</w:t>
      </w:r>
      <w:r w:rsidR="008F6B46" w:rsidRPr="0054344B">
        <w:t xml:space="preserve">irm </w:t>
      </w:r>
      <w:r w:rsidR="00094D53" w:rsidRPr="0054344B">
        <w:t>s</w:t>
      </w:r>
      <w:r w:rsidR="005A30B6" w:rsidRPr="0054344B">
        <w:t xml:space="preserve">ize (FSIZE) </w:t>
      </w:r>
      <w:r w:rsidRPr="0054344B">
        <w:t>and the Big4 auditors did not influence firm value (Tobin’</w:t>
      </w:r>
      <w:r w:rsidR="008F6B46" w:rsidRPr="0054344B">
        <w:t xml:space="preserve">s Q). </w:t>
      </w:r>
      <w:r w:rsidRPr="0054344B">
        <w:t xml:space="preserve"> </w:t>
      </w:r>
    </w:p>
    <w:p w14:paraId="609A8109" w14:textId="77777777" w:rsidR="00F21021" w:rsidRPr="0054344B" w:rsidRDefault="0079376A" w:rsidP="00E25502">
      <w:pPr>
        <w:pStyle w:val="PSLeipis"/>
      </w:pPr>
      <w:r w:rsidRPr="0054344B">
        <w:t xml:space="preserve">In terms of the financial sectors, </w:t>
      </w:r>
      <w:r w:rsidR="00A875CB" w:rsidRPr="0054344B">
        <w:t xml:space="preserve">the </w:t>
      </w:r>
      <w:r w:rsidR="009E64B6" w:rsidRPr="0054344B">
        <w:t>i</w:t>
      </w:r>
      <w:r w:rsidRPr="0054344B">
        <w:t xml:space="preserve">nsurance </w:t>
      </w:r>
      <w:r w:rsidR="00A875CB" w:rsidRPr="0054344B">
        <w:t>sectors (2) show</w:t>
      </w:r>
      <w:r w:rsidRPr="0054344B">
        <w:t xml:space="preserve"> a weak indication</w:t>
      </w:r>
      <w:r w:rsidR="008F6B46" w:rsidRPr="0054344B">
        <w:t xml:space="preserve"> </w:t>
      </w:r>
      <w:r w:rsidRPr="0054344B">
        <w:t xml:space="preserve">compared to </w:t>
      </w:r>
      <w:r w:rsidR="009E64B6" w:rsidRPr="0054344B">
        <w:t>the i</w:t>
      </w:r>
      <w:r w:rsidRPr="0054344B">
        <w:t xml:space="preserve">nvestment </w:t>
      </w:r>
      <w:r w:rsidR="009E64B6" w:rsidRPr="0054344B">
        <w:t>b</w:t>
      </w:r>
      <w:r w:rsidRPr="0054344B">
        <w:t xml:space="preserve">anking </w:t>
      </w:r>
      <w:r w:rsidR="00A875CB" w:rsidRPr="0054344B">
        <w:t xml:space="preserve">sectors </w:t>
      </w:r>
      <w:r w:rsidRPr="0054344B">
        <w:t>(</w:t>
      </w:r>
      <w:r w:rsidR="008F6B46" w:rsidRPr="0054344B">
        <w:t>1)</w:t>
      </w:r>
      <w:r w:rsidRPr="0054344B">
        <w:t xml:space="preserve">. The empirical results show that </w:t>
      </w:r>
      <w:r w:rsidR="00EC6B1E" w:rsidRPr="0054344B">
        <w:t xml:space="preserve">the </w:t>
      </w:r>
      <w:r w:rsidR="009E64B6" w:rsidRPr="0054344B">
        <w:t>i</w:t>
      </w:r>
      <w:r w:rsidRPr="0054344B">
        <w:t>ns</w:t>
      </w:r>
      <w:r w:rsidR="00EC6B1E" w:rsidRPr="0054344B">
        <w:t>urance (2)</w:t>
      </w:r>
      <w:r w:rsidR="009E64B6" w:rsidRPr="0054344B">
        <w:t>,</w:t>
      </w:r>
      <w:r w:rsidR="00EC6B1E" w:rsidRPr="0054344B">
        <w:t xml:space="preserve"> </w:t>
      </w:r>
      <w:r w:rsidR="009E64B6" w:rsidRPr="0054344B">
        <w:t>m</w:t>
      </w:r>
      <w:r w:rsidR="00EC6B1E" w:rsidRPr="0054344B">
        <w:t>ortgage (3)</w:t>
      </w:r>
      <w:r w:rsidR="009E64B6" w:rsidRPr="0054344B">
        <w:t>,</w:t>
      </w:r>
      <w:r w:rsidR="00EC6B1E" w:rsidRPr="0054344B">
        <w:t xml:space="preserve"> and </w:t>
      </w:r>
      <w:r w:rsidR="009E64B6" w:rsidRPr="0054344B">
        <w:t>b</w:t>
      </w:r>
      <w:r w:rsidRPr="0054344B">
        <w:t>anking (5)</w:t>
      </w:r>
      <w:r w:rsidR="009E64B6" w:rsidRPr="0054344B">
        <w:t>,</w:t>
      </w:r>
      <w:r w:rsidRPr="0054344B">
        <w:t xml:space="preserve"> sectors did not influence </w:t>
      </w:r>
      <w:r w:rsidR="009E64B6" w:rsidRPr="0054344B">
        <w:t>a</w:t>
      </w:r>
      <w:r w:rsidRPr="0054344B">
        <w:t xml:space="preserve"> firm’s value as a measure of its financial performance. However, the establishment of </w:t>
      </w:r>
      <w:r w:rsidR="009E64B6" w:rsidRPr="0054344B">
        <w:t>an i</w:t>
      </w:r>
      <w:r w:rsidRPr="0054344B">
        <w:t xml:space="preserve">nvestment </w:t>
      </w:r>
      <w:r w:rsidR="009E64B6" w:rsidRPr="0054344B">
        <w:t>t</w:t>
      </w:r>
      <w:r w:rsidRPr="0054344B">
        <w:t>rust (4) sector shows a positive and statistically significant relationship to firm value. This implies</w:t>
      </w:r>
      <w:r w:rsidR="00F21021" w:rsidRPr="0054344B">
        <w:t xml:space="preserve"> that investment trust firms made significant</w:t>
      </w:r>
      <w:r w:rsidR="002750FF" w:rsidRPr="0054344B">
        <w:t xml:space="preserve"> financial </w:t>
      </w:r>
      <w:r w:rsidR="00F21021" w:rsidRPr="0054344B">
        <w:t>gains compared to other</w:t>
      </w:r>
      <w:r w:rsidR="002750FF" w:rsidRPr="0054344B">
        <w:t xml:space="preserve"> sectors.</w:t>
      </w:r>
    </w:p>
    <w:p w14:paraId="3911FD66" w14:textId="77777777" w:rsidR="0079376A" w:rsidRPr="00E25502" w:rsidRDefault="0079376A" w:rsidP="00E25502">
      <w:pPr>
        <w:pStyle w:val="PSVliotsikot"/>
      </w:pPr>
      <w:r w:rsidRPr="00E25502">
        <w:t>Audit committee</w:t>
      </w:r>
      <w:r w:rsidR="0026476F" w:rsidRPr="00E25502">
        <w:t xml:space="preserve"> (AC)</w:t>
      </w:r>
      <w:r w:rsidRPr="00E25502">
        <w:t>impact on the firm’s Tobin’s Q – firm value</w:t>
      </w:r>
    </w:p>
    <w:p w14:paraId="7A005182" w14:textId="77777777" w:rsidR="0079376A" w:rsidRPr="0054344B" w:rsidRDefault="0079376A" w:rsidP="00E25502">
      <w:pPr>
        <w:pStyle w:val="PSLeipis"/>
      </w:pPr>
      <w:r w:rsidRPr="0054344B">
        <w:t xml:space="preserve">The empirical results show the relationship between </w:t>
      </w:r>
      <w:r w:rsidRPr="0054344B">
        <w:rPr>
          <w:color w:val="000000"/>
        </w:rPr>
        <w:t>AC</w:t>
      </w:r>
      <w:r w:rsidRPr="0054344B">
        <w:t xml:space="preserve"> and firm value. The r</w:t>
      </w:r>
      <w:r w:rsidR="00F57D41" w:rsidRPr="0054344B">
        <w:t>egression results for both the random and f</w:t>
      </w:r>
      <w:r w:rsidRPr="0054344B">
        <w:t xml:space="preserve">ixed effects indicate that the establishment of an </w:t>
      </w:r>
      <w:r w:rsidRPr="0054344B">
        <w:rPr>
          <w:color w:val="000000"/>
        </w:rPr>
        <w:t>AC</w:t>
      </w:r>
      <w:r w:rsidRPr="0054344B">
        <w:t xml:space="preserve"> made a positive and statistically significant contribution to a firm’s value as a measure of its financial performance. The two estimations indicate the consistency of the results and </w:t>
      </w:r>
      <w:r w:rsidR="009E64B6" w:rsidRPr="0054344B">
        <w:t xml:space="preserve">reinforce the observation </w:t>
      </w:r>
      <w:r w:rsidRPr="0054344B">
        <w:t xml:space="preserve">that when a firm has an </w:t>
      </w:r>
      <w:r w:rsidRPr="0054344B">
        <w:rPr>
          <w:color w:val="000000"/>
        </w:rPr>
        <w:t>AC</w:t>
      </w:r>
      <w:r w:rsidRPr="0054344B">
        <w:t xml:space="preserve"> in place, it will help to enhance that firm’s value. Our results suggest that the establishment of an </w:t>
      </w:r>
      <w:r w:rsidRPr="0054344B">
        <w:rPr>
          <w:color w:val="000000"/>
        </w:rPr>
        <w:t>AC</w:t>
      </w:r>
      <w:r w:rsidRPr="0054344B">
        <w:t xml:space="preserve"> by a firm gives a positive signal to the market, which eventually has an impact on the firm’s value. A positive and statistically significant firm value (Tobin’s Q) gives investors and shareholders confidence that </w:t>
      </w:r>
      <w:r w:rsidR="00F44064" w:rsidRPr="0054344B">
        <w:t>investment in the firm would be profitable</w:t>
      </w:r>
      <w:r w:rsidRPr="0054344B">
        <w:t xml:space="preserve">. </w:t>
      </w:r>
    </w:p>
    <w:p w14:paraId="7943E7E7" w14:textId="77777777" w:rsidR="00DE7F32" w:rsidRPr="0054344B" w:rsidRDefault="0079376A" w:rsidP="00E25502">
      <w:pPr>
        <w:pStyle w:val="PSLeipis"/>
      </w:pPr>
      <w:r w:rsidRPr="0054344B">
        <w:t>The results could also mean that the adoption of an</w:t>
      </w:r>
      <w:r w:rsidRPr="0054344B">
        <w:rPr>
          <w:color w:val="000000"/>
        </w:rPr>
        <w:t xml:space="preserve"> AC</w:t>
      </w:r>
      <w:r w:rsidRPr="0054344B">
        <w:t xml:space="preserve"> improves firm value and enhances the essence of the firm’s corporate governance mechanism. Our result</w:t>
      </w:r>
      <w:r w:rsidR="00F44064" w:rsidRPr="0054344B">
        <w:t>s are</w:t>
      </w:r>
      <w:r w:rsidRPr="0054344B">
        <w:t xml:space="preserve"> consistent with previous empirical research</w:t>
      </w:r>
      <w:r w:rsidR="009E64B6" w:rsidRPr="0054344B">
        <w:t>,</w:t>
      </w:r>
      <w:r w:rsidRPr="0054344B">
        <w:t xml:space="preserve"> such as </w:t>
      </w:r>
      <w:r w:rsidR="009E64B6" w:rsidRPr="0054344B">
        <w:t xml:space="preserve">that of </w:t>
      </w:r>
      <w:r w:rsidRPr="0054344B">
        <w:t xml:space="preserve">Chan and Li, </w:t>
      </w:r>
      <w:r w:rsidR="004703C8" w:rsidRPr="0054344B">
        <w:t>(</w:t>
      </w:r>
      <w:r w:rsidRPr="0054344B">
        <w:t>2008</w:t>
      </w:r>
      <w:r w:rsidR="004703C8" w:rsidRPr="0054344B">
        <w:t>)</w:t>
      </w:r>
      <w:r w:rsidR="009E64B6" w:rsidRPr="0054344B">
        <w:t xml:space="preserve">, who used </w:t>
      </w:r>
      <w:r w:rsidR="004703C8" w:rsidRPr="0054344B">
        <w:t xml:space="preserve">a sample of Fortune 200 publicly traded firms </w:t>
      </w:r>
      <w:r w:rsidR="00DE7F32" w:rsidRPr="0054344B">
        <w:t xml:space="preserve">and found </w:t>
      </w:r>
      <w:r w:rsidR="00CC162D" w:rsidRPr="0054344B">
        <w:t xml:space="preserve">that </w:t>
      </w:r>
      <w:r w:rsidR="00DE7F32" w:rsidRPr="0054344B">
        <w:t xml:space="preserve">the presence of expert-independent directors on </w:t>
      </w:r>
      <w:r w:rsidR="009E64B6" w:rsidRPr="0054344B">
        <w:t xml:space="preserve">the </w:t>
      </w:r>
      <w:r w:rsidR="005A30B6" w:rsidRPr="0054344B">
        <w:t xml:space="preserve">board and in the </w:t>
      </w:r>
      <w:proofErr w:type="gramStart"/>
      <w:r w:rsidR="005A30B6" w:rsidRPr="0054344B">
        <w:t>AC</w:t>
      </w:r>
      <w:proofErr w:type="gramEnd"/>
      <w:r w:rsidR="00DE7F32" w:rsidRPr="0054344B">
        <w:t xml:space="preserve"> enhances firm value</w:t>
      </w:r>
      <w:r w:rsidR="004703C8" w:rsidRPr="0054344B">
        <w:rPr>
          <w:rFonts w:ascii="NexusSansWebPro" w:hAnsi="NexusSansWebPro"/>
          <w:color w:val="505050"/>
          <w:shd w:val="clear" w:color="auto" w:fill="FFFFFF"/>
        </w:rPr>
        <w:t>.</w:t>
      </w:r>
      <w:r w:rsidR="004703C8" w:rsidRPr="0054344B">
        <w:t xml:space="preserve"> Munisi and Randøy, (2013)</w:t>
      </w:r>
      <w:r w:rsidR="00CD6520" w:rsidRPr="0054344B">
        <w:t xml:space="preserve"> used publicly listed companies acrosss Sub-Sahara Africa and their result</w:t>
      </w:r>
      <w:r w:rsidR="009E64B6" w:rsidRPr="0054344B">
        <w:t>s</w:t>
      </w:r>
      <w:r w:rsidR="00CD6520" w:rsidRPr="0054344B">
        <w:t xml:space="preserve"> indicate that </w:t>
      </w:r>
      <w:r w:rsidR="004703C8" w:rsidRPr="0054344B">
        <w:rPr>
          <w:color w:val="000000"/>
        </w:rPr>
        <w:t>AC</w:t>
      </w:r>
      <w:r w:rsidR="009E64B6" w:rsidRPr="0054344B">
        <w:rPr>
          <w:color w:val="000000"/>
        </w:rPr>
        <w:t>s</w:t>
      </w:r>
      <w:r w:rsidR="004703C8" w:rsidRPr="0054344B">
        <w:t xml:space="preserve"> </w:t>
      </w:r>
      <w:r w:rsidR="009E64B6" w:rsidRPr="0054344B">
        <w:t xml:space="preserve">are </w:t>
      </w:r>
      <w:r w:rsidR="004703C8" w:rsidRPr="0054344B">
        <w:t xml:space="preserve">positively and </w:t>
      </w:r>
      <w:r w:rsidR="004703C8" w:rsidRPr="0054344B">
        <w:lastRenderedPageBreak/>
        <w:t>significantly asso</w:t>
      </w:r>
      <w:r w:rsidR="00CD6520" w:rsidRPr="0054344B">
        <w:t xml:space="preserve">ciated with firm value and finally, </w:t>
      </w:r>
      <w:r w:rsidR="00CD6520" w:rsidRPr="0054344B">
        <w:rPr>
          <w:lang w:val="en-US"/>
        </w:rPr>
        <w:t>Karim et al. (2013)</w:t>
      </w:r>
      <w:r w:rsidR="00CD6520" w:rsidRPr="0054344B">
        <w:t xml:space="preserve"> </w:t>
      </w:r>
      <w:r w:rsidRPr="0054344B">
        <w:rPr>
          <w:lang w:val="en-US"/>
        </w:rPr>
        <w:t xml:space="preserve">found a </w:t>
      </w:r>
      <w:r w:rsidRPr="0054344B">
        <w:t>positive and statistically significan</w:t>
      </w:r>
      <w:r w:rsidR="00DE7F32" w:rsidRPr="0054344B">
        <w:t>t association between AC</w:t>
      </w:r>
      <w:r w:rsidR="00A904FF" w:rsidRPr="0054344B">
        <w:t>s</w:t>
      </w:r>
      <w:r w:rsidR="00DE7F32" w:rsidRPr="0054344B">
        <w:t xml:space="preserve"> and</w:t>
      </w:r>
      <w:r w:rsidRPr="0054344B">
        <w:t xml:space="preserve"> firm value (Tobin’s Q</w:t>
      </w:r>
      <w:r w:rsidR="00CD6520" w:rsidRPr="0054344B">
        <w:t xml:space="preserve">) during an examination of </w:t>
      </w:r>
      <w:proofErr w:type="gramStart"/>
      <w:r w:rsidR="00CD6520" w:rsidRPr="0054344B">
        <w:t>auditors</w:t>
      </w:r>
      <w:proofErr w:type="gramEnd"/>
      <w:r w:rsidR="00CD6520" w:rsidRPr="0054344B">
        <w:t xml:space="preserve"> qu</w:t>
      </w:r>
      <w:r w:rsidR="00DE7F32" w:rsidRPr="0054344B">
        <w:t xml:space="preserve">ality choice by IPO companies in Bangladesh. </w:t>
      </w:r>
    </w:p>
    <w:p w14:paraId="3D248D9E" w14:textId="3F5E985A" w:rsidR="0079376A" w:rsidRPr="0054344B" w:rsidRDefault="00DE7F32" w:rsidP="00E25502">
      <w:pPr>
        <w:pStyle w:val="PSLeipis"/>
      </w:pPr>
      <w:r w:rsidRPr="0054344B">
        <w:t xml:space="preserve">This </w:t>
      </w:r>
      <w:proofErr w:type="spellStart"/>
      <w:r w:rsidRPr="0054344B">
        <w:t>empicial</w:t>
      </w:r>
      <w:proofErr w:type="spellEnd"/>
      <w:r w:rsidR="0079376A" w:rsidRPr="0054344B">
        <w:t xml:space="preserve"> result is also consistent with the first hypothesis (</w:t>
      </w:r>
      <w:r w:rsidR="0079376A" w:rsidRPr="0054344B">
        <w:rPr>
          <w:b/>
        </w:rPr>
        <w:t>H1</w:t>
      </w:r>
      <w:r w:rsidR="0079376A" w:rsidRPr="0054344B">
        <w:t xml:space="preserve">), which states that there is a positive and statistically significant relationship between </w:t>
      </w:r>
      <w:r w:rsidR="00A904FF" w:rsidRPr="0054344B">
        <w:t xml:space="preserve">an </w:t>
      </w:r>
      <w:r w:rsidR="0079376A" w:rsidRPr="0054344B">
        <w:rPr>
          <w:color w:val="000000"/>
        </w:rPr>
        <w:t>AC</w:t>
      </w:r>
      <w:r w:rsidR="0079376A" w:rsidRPr="0054344B">
        <w:t xml:space="preserve"> and </w:t>
      </w:r>
      <w:r w:rsidR="00A904FF" w:rsidRPr="0054344B">
        <w:t xml:space="preserve">a </w:t>
      </w:r>
      <w:r w:rsidR="0079376A" w:rsidRPr="0054344B">
        <w:t>firm’s value as a measure of financial performance in UK financial institutions.</w:t>
      </w:r>
    </w:p>
    <w:p w14:paraId="1264CA87" w14:textId="1C91B291" w:rsidR="0079376A" w:rsidRPr="0054344B" w:rsidRDefault="00730659" w:rsidP="00E25502">
      <w:pPr>
        <w:pStyle w:val="Heading2"/>
      </w:pPr>
      <w:r w:rsidRPr="0054344B">
        <w:t>4.3</w:t>
      </w:r>
      <w:r w:rsidR="0079376A" w:rsidRPr="0054344B">
        <w:t xml:space="preserve"> </w:t>
      </w:r>
      <w:r w:rsidR="00E25502">
        <w:tab/>
      </w:r>
      <w:r w:rsidR="0079376A" w:rsidRPr="0054344B">
        <w:t>Empirical discussion 2</w:t>
      </w:r>
    </w:p>
    <w:p w14:paraId="6AB28459" w14:textId="77777777" w:rsidR="0079376A" w:rsidRPr="0054344B" w:rsidRDefault="0079376A" w:rsidP="00E25502">
      <w:pPr>
        <w:pStyle w:val="PSLeipis"/>
      </w:pPr>
      <w:r w:rsidRPr="0054344B">
        <w:t xml:space="preserve">The second part of the analysis focuses on </w:t>
      </w:r>
      <w:r w:rsidRPr="0054344B">
        <w:rPr>
          <w:color w:val="000000"/>
        </w:rPr>
        <w:t>AC</w:t>
      </w:r>
      <w:r w:rsidR="008A0C44" w:rsidRPr="0054344B">
        <w:rPr>
          <w:color w:val="000000"/>
        </w:rPr>
        <w:t>s</w:t>
      </w:r>
      <w:r w:rsidRPr="0054344B">
        <w:t xml:space="preserve"> and</w:t>
      </w:r>
      <w:r w:rsidR="00F44064" w:rsidRPr="0054344B">
        <w:t xml:space="preserve"> </w:t>
      </w:r>
      <w:r w:rsidR="0026476F" w:rsidRPr="0054344B">
        <w:t xml:space="preserve">their </w:t>
      </w:r>
      <w:r w:rsidR="00F44064" w:rsidRPr="0054344B">
        <w:t xml:space="preserve">firm value </w:t>
      </w:r>
      <w:r w:rsidR="008A0C44" w:rsidRPr="0054344B">
        <w:t xml:space="preserve">during </w:t>
      </w:r>
      <w:r w:rsidRPr="0054344B">
        <w:t xml:space="preserve">the global financial crisis period in the UK. Table 6 in the appendix presents the regression results for both the pre- and the post-financial crisis periods, where Tobin’s Q is used as a measure </w:t>
      </w:r>
      <w:r w:rsidR="00227029" w:rsidRPr="0054344B">
        <w:t>of</w:t>
      </w:r>
      <w:r w:rsidR="006B0285" w:rsidRPr="0054344B">
        <w:t xml:space="preserve"> </w:t>
      </w:r>
      <w:r w:rsidRPr="0054344B">
        <w:t>firm value. The regression shows 441 and 189 observations for the pre- and post-crisis periods respectively. As indicated during the introduction of the analysis, the second part of the regression excludes 2007/2008 data as the financial</w:t>
      </w:r>
      <w:r w:rsidR="00F44064" w:rsidRPr="0054344B">
        <w:t xml:space="preserve"> crisis happened in this period, </w:t>
      </w:r>
      <w:r w:rsidR="008A0C44" w:rsidRPr="0054344B">
        <w:t xml:space="preserve">thus </w:t>
      </w:r>
      <w:r w:rsidR="00F44064" w:rsidRPr="0054344B">
        <w:t>a</w:t>
      </w:r>
      <w:r w:rsidRPr="0054344B">
        <w:t xml:space="preserve"> total of 126 observations covering the two-year period hav</w:t>
      </w:r>
      <w:r w:rsidR="00F44064" w:rsidRPr="0054344B">
        <w:t>e been excluded</w:t>
      </w:r>
      <w:r w:rsidRPr="0054344B">
        <w:t xml:space="preserve">. The </w:t>
      </w:r>
      <w:r w:rsidRPr="0054344B">
        <w:rPr>
          <w:i/>
          <w:iCs/>
        </w:rPr>
        <w:t>R</w:t>
      </w:r>
      <w:r w:rsidRPr="0054344B">
        <w:rPr>
          <w:vertAlign w:val="superscript"/>
        </w:rPr>
        <w:t xml:space="preserve">2 </w:t>
      </w:r>
      <w:r w:rsidRPr="0054344B">
        <w:t xml:space="preserve">and the p-values for both the pre- and post-crisis periods are all statistically significant in the regression model. </w:t>
      </w:r>
    </w:p>
    <w:p w14:paraId="5D8C3075" w14:textId="77777777" w:rsidR="0079376A" w:rsidRPr="0054344B" w:rsidRDefault="0079376A" w:rsidP="00E25502">
      <w:pPr>
        <w:pStyle w:val="PSLeipis"/>
      </w:pPr>
      <w:r w:rsidRPr="0054344B">
        <w:t xml:space="preserve">The empirical results for the control variables indicate that </w:t>
      </w:r>
      <w:r w:rsidR="0026476F" w:rsidRPr="0054344B">
        <w:t xml:space="preserve">GROWTH, LEV, FSIZE and </w:t>
      </w:r>
      <w:r w:rsidR="006B0285" w:rsidRPr="0054344B">
        <w:t xml:space="preserve">Big4 did not influence </w:t>
      </w:r>
      <w:r w:rsidR="00A904FF" w:rsidRPr="0054344B">
        <w:t xml:space="preserve">a </w:t>
      </w:r>
      <w:r w:rsidR="006B0285" w:rsidRPr="0054344B">
        <w:t>firm</w:t>
      </w:r>
      <w:r w:rsidR="005418BB" w:rsidRPr="0054344B">
        <w:t>’</w:t>
      </w:r>
      <w:r w:rsidRPr="0054344B">
        <w:t>s value during the pre</w:t>
      </w:r>
      <w:r w:rsidR="008A0C44" w:rsidRPr="0054344B">
        <w:t xml:space="preserve">- and </w:t>
      </w:r>
      <w:r w:rsidRPr="0054344B">
        <w:t>post</w:t>
      </w:r>
      <w:r w:rsidR="008A0C44" w:rsidRPr="0054344B">
        <w:t>-</w:t>
      </w:r>
      <w:r w:rsidRPr="0054344B">
        <w:t>financial crisi</w:t>
      </w:r>
      <w:r w:rsidR="00F44064" w:rsidRPr="0054344B">
        <w:t xml:space="preserve">s periods. However, </w:t>
      </w:r>
      <w:r w:rsidR="00A904FF" w:rsidRPr="0054344B">
        <w:t xml:space="preserve">a </w:t>
      </w:r>
      <w:r w:rsidR="00F44064" w:rsidRPr="0054344B">
        <w:t>firm’s d</w:t>
      </w:r>
      <w:r w:rsidRPr="0054344B">
        <w:t>uality</w:t>
      </w:r>
      <w:r w:rsidR="0026476F" w:rsidRPr="0054344B">
        <w:t xml:space="preserve"> (DUAL)</w:t>
      </w:r>
      <w:r w:rsidRPr="0054344B">
        <w:t xml:space="preserve"> shows a positive and statistically significant relationship with firm value during both periods. This suggests that listing a firm in another country has the propensity to influence the firm’s value. When firms are listed in other countries, they have to conform to additional regulatory policies. This makes them more robust and helps improve their corporate governance structures.</w:t>
      </w:r>
    </w:p>
    <w:p w14:paraId="662BE872" w14:textId="77777777" w:rsidR="0079376A" w:rsidRPr="0054344B" w:rsidRDefault="0079376A" w:rsidP="00E25502">
      <w:pPr>
        <w:pStyle w:val="PSLeipis"/>
      </w:pPr>
      <w:r w:rsidRPr="0054344B">
        <w:t xml:space="preserve">In </w:t>
      </w:r>
      <w:r w:rsidR="00F44064" w:rsidRPr="0054344B">
        <w:t>terms of the financial sector, i</w:t>
      </w:r>
      <w:r w:rsidRPr="0054344B">
        <w:t>nsuranc</w:t>
      </w:r>
      <w:r w:rsidR="00F44064" w:rsidRPr="0054344B">
        <w:t xml:space="preserve">e and banking services showed </w:t>
      </w:r>
      <w:r w:rsidRPr="0054344B">
        <w:t>positive sign</w:t>
      </w:r>
      <w:r w:rsidR="00F44064" w:rsidRPr="0054344B">
        <w:t>s,</w:t>
      </w:r>
      <w:r w:rsidRPr="0054344B">
        <w:t xml:space="preserve"> but </w:t>
      </w:r>
      <w:r w:rsidR="00A904FF" w:rsidRPr="0054344B">
        <w:t xml:space="preserve">were </w:t>
      </w:r>
      <w:r w:rsidRPr="0054344B">
        <w:t xml:space="preserve">not significant to firm value. </w:t>
      </w:r>
      <w:r w:rsidR="00F44064" w:rsidRPr="0054344B">
        <w:t>However, t</w:t>
      </w:r>
      <w:r w:rsidRPr="0054344B">
        <w:t>here was a positive and statistically significant relationship between financial services such as mortgage and investment trust</w:t>
      </w:r>
      <w:r w:rsidR="00472B5F" w:rsidRPr="0054344B">
        <w:t>s</w:t>
      </w:r>
      <w:r w:rsidRPr="0054344B">
        <w:t xml:space="preserve"> and the firm value during both periods. This means that each of th</w:t>
      </w:r>
      <w:r w:rsidR="00F44064" w:rsidRPr="0054344B">
        <w:t xml:space="preserve">e financial sectors </w:t>
      </w:r>
      <w:r w:rsidRPr="0054344B">
        <w:t>has the propensity to ensure that the presenc</w:t>
      </w:r>
      <w:r w:rsidR="0026476F" w:rsidRPr="0054344B">
        <w:t>e of an AC</w:t>
      </w:r>
      <w:r w:rsidR="000225E4" w:rsidRPr="0054344B">
        <w:t xml:space="preserve"> has</w:t>
      </w:r>
      <w:r w:rsidRPr="0054344B">
        <w:t xml:space="preserve"> a significant impact on </w:t>
      </w:r>
      <w:r w:rsidR="008A0C44" w:rsidRPr="0054344B">
        <w:t xml:space="preserve">a </w:t>
      </w:r>
      <w:r w:rsidRPr="0054344B">
        <w:t>firm.</w:t>
      </w:r>
    </w:p>
    <w:p w14:paraId="600D69DF" w14:textId="77777777" w:rsidR="0079376A" w:rsidRDefault="0079376A" w:rsidP="00E25502">
      <w:pPr>
        <w:pStyle w:val="PSVliotsikot"/>
      </w:pPr>
      <w:r w:rsidRPr="0054344B">
        <w:lastRenderedPageBreak/>
        <w:t>Audit committee (AC) impact on firm value during the pre</w:t>
      </w:r>
      <w:r w:rsidR="00BB4B2B" w:rsidRPr="0054344B">
        <w:t xml:space="preserve">- and </w:t>
      </w:r>
      <w:r w:rsidRPr="0054344B">
        <w:t>post</w:t>
      </w:r>
      <w:r w:rsidR="00BB4B2B" w:rsidRPr="0054344B">
        <w:t xml:space="preserve">-financial </w:t>
      </w:r>
      <w:r w:rsidRPr="0054344B">
        <w:t>crisis periods</w:t>
      </w:r>
    </w:p>
    <w:p w14:paraId="7DA38067" w14:textId="77777777" w:rsidR="0026476F" w:rsidRPr="0054344B" w:rsidRDefault="0079376A" w:rsidP="00E25502">
      <w:pPr>
        <w:pStyle w:val="PSLeipis"/>
      </w:pPr>
      <w:r w:rsidRPr="0054344B">
        <w:t>T</w:t>
      </w:r>
      <w:r w:rsidR="000225E4" w:rsidRPr="0054344B">
        <w:t>he empirical results amassed</w:t>
      </w:r>
      <w:r w:rsidRPr="0054344B">
        <w:t xml:space="preserve"> dur</w:t>
      </w:r>
      <w:r w:rsidR="000225E4" w:rsidRPr="0054344B">
        <w:t>ing the pre</w:t>
      </w:r>
      <w:r w:rsidR="008A0C44" w:rsidRPr="0054344B">
        <w:t xml:space="preserve">- and </w:t>
      </w:r>
      <w:r w:rsidR="000225E4" w:rsidRPr="0054344B">
        <w:t>post-financial crisi</w:t>
      </w:r>
      <w:r w:rsidRPr="0054344B">
        <w:t xml:space="preserve">s periods indicate that the establishment of </w:t>
      </w:r>
      <w:r w:rsidR="000225E4" w:rsidRPr="0054344B">
        <w:t xml:space="preserve">an </w:t>
      </w:r>
      <w:r w:rsidRPr="0054344B">
        <w:rPr>
          <w:color w:val="000000"/>
        </w:rPr>
        <w:t>AC</w:t>
      </w:r>
      <w:r w:rsidRPr="0054344B">
        <w:t xml:space="preserve"> during the pre-crisis era had a positive and statistic</w:t>
      </w:r>
      <w:r w:rsidR="000225E4" w:rsidRPr="0054344B">
        <w:t xml:space="preserve">ally significant relationship </w:t>
      </w:r>
      <w:r w:rsidR="00A904FF" w:rsidRPr="0054344B">
        <w:t xml:space="preserve">on a </w:t>
      </w:r>
      <w:r w:rsidRPr="0054344B">
        <w:t>firm’s value as a measure of performance. Our results suggest that the presence of an</w:t>
      </w:r>
      <w:r w:rsidRPr="0054344B">
        <w:rPr>
          <w:color w:val="000000"/>
        </w:rPr>
        <w:t xml:space="preserve"> AC</w:t>
      </w:r>
      <w:r w:rsidRPr="0054344B">
        <w:t xml:space="preserve"> in the</w:t>
      </w:r>
      <w:r w:rsidR="000225E4" w:rsidRPr="0054344B">
        <w:t>se UK financial firms can</w:t>
      </w:r>
      <w:r w:rsidRPr="0054344B">
        <w:t xml:space="preserve"> ensure that an appropriate monitoring and oversigh</w:t>
      </w:r>
      <w:r w:rsidR="000225E4" w:rsidRPr="0054344B">
        <w:t>t procedure is followed, with a view</w:t>
      </w:r>
      <w:r w:rsidRPr="0054344B">
        <w:t xml:space="preserve"> to yield</w:t>
      </w:r>
      <w:r w:rsidR="000225E4" w:rsidRPr="0054344B">
        <w:t>ing</w:t>
      </w:r>
      <w:r w:rsidR="001A2277" w:rsidRPr="0054344B">
        <w:t xml:space="preserve"> a good financial performance</w:t>
      </w:r>
      <w:r w:rsidRPr="0054344B">
        <w:t xml:space="preserve">. The pre-crisis results indicate that the market responded positively when a firm had an </w:t>
      </w:r>
      <w:r w:rsidRPr="0054344B">
        <w:rPr>
          <w:color w:val="000000"/>
        </w:rPr>
        <w:t>AC</w:t>
      </w:r>
      <w:r w:rsidRPr="0054344B">
        <w:t xml:space="preserve"> in place.</w:t>
      </w:r>
      <w:r w:rsidR="00461E97" w:rsidRPr="0054344B">
        <w:t xml:space="preserve"> </w:t>
      </w:r>
      <w:r w:rsidR="001A2277" w:rsidRPr="0054344B">
        <w:rPr>
          <w:lang w:val="en"/>
        </w:rPr>
        <w:t>Also, the board members working on the committee were able to avoid risk taking</w:t>
      </w:r>
      <w:r w:rsidR="00346230" w:rsidRPr="0054344B">
        <w:rPr>
          <w:lang w:val="en"/>
        </w:rPr>
        <w:t>,</w:t>
      </w:r>
      <w:r w:rsidR="001A2277" w:rsidRPr="0054344B">
        <w:rPr>
          <w:lang w:val="en"/>
        </w:rPr>
        <w:t xml:space="preserve"> which eventually translated into financial performance.</w:t>
      </w:r>
      <w:r w:rsidR="00461E97" w:rsidRPr="0054344B">
        <w:t xml:space="preserve"> </w:t>
      </w:r>
      <w:r w:rsidRPr="0054344B">
        <w:t xml:space="preserve">Finally, </w:t>
      </w:r>
      <w:r w:rsidR="000225E4" w:rsidRPr="0054344B">
        <w:t xml:space="preserve">during </w:t>
      </w:r>
      <w:r w:rsidRPr="0054344B">
        <w:t xml:space="preserve">the pre-crisis period, </w:t>
      </w:r>
      <w:r w:rsidR="000225E4" w:rsidRPr="0054344B">
        <w:t>institutions</w:t>
      </w:r>
      <w:r w:rsidRPr="0054344B">
        <w:t xml:space="preserve"> were</w:t>
      </w:r>
      <w:r w:rsidR="00461E97" w:rsidRPr="0054344B">
        <w:t xml:space="preserve"> perceived to </w:t>
      </w:r>
      <w:r w:rsidR="00461E97" w:rsidRPr="0054344B">
        <w:rPr>
          <w:lang w:val="en"/>
        </w:rPr>
        <w:t>be</w:t>
      </w:r>
      <w:r w:rsidRPr="0054344B">
        <w:rPr>
          <w:lang w:val="en"/>
        </w:rPr>
        <w:t xml:space="preserve"> robust and the</w:t>
      </w:r>
      <w:r w:rsidRPr="0054344B">
        <w:t xml:space="preserve"> market responded positively when the firms had an</w:t>
      </w:r>
      <w:r w:rsidRPr="0054344B">
        <w:rPr>
          <w:color w:val="000000"/>
        </w:rPr>
        <w:t xml:space="preserve"> AC</w:t>
      </w:r>
      <w:r w:rsidRPr="0054344B">
        <w:t xml:space="preserve"> in place. Our empirical result is consistent with previous research by Choi et al. (2004) which reported</w:t>
      </w:r>
      <w:r w:rsidR="00A904FF" w:rsidRPr="0054344B">
        <w:t xml:space="preserve"> the</w:t>
      </w:r>
      <w:r w:rsidRPr="0054344B">
        <w:t xml:space="preserve"> positive performance of Ko</w:t>
      </w:r>
      <w:r w:rsidR="000225E4" w:rsidRPr="0054344B">
        <w:t>rean firms during the fallout from</w:t>
      </w:r>
      <w:r w:rsidRPr="0054344B">
        <w:t xml:space="preserve"> the Asian financial crisis. Stu</w:t>
      </w:r>
      <w:r w:rsidR="000225E4" w:rsidRPr="0054344B">
        <w:t xml:space="preserve">dies by Mintah (2015) also show </w:t>
      </w:r>
      <w:r w:rsidRPr="0054344B">
        <w:t xml:space="preserve">a positive and statistically significant relationship between </w:t>
      </w:r>
      <w:r w:rsidR="00A904FF" w:rsidRPr="0054344B">
        <w:t xml:space="preserve">the </w:t>
      </w:r>
      <w:r w:rsidRPr="0054344B">
        <w:t xml:space="preserve">Tobin’s Q </w:t>
      </w:r>
      <w:r w:rsidR="00A904FF" w:rsidRPr="0054344B">
        <w:t xml:space="preserve">of a firm </w:t>
      </w:r>
      <w:r w:rsidRPr="0054344B">
        <w:t>and independent variable</w:t>
      </w:r>
      <w:r w:rsidR="00A904FF" w:rsidRPr="0054344B">
        <w:t>s</w:t>
      </w:r>
      <w:r w:rsidRPr="0054344B">
        <w:t xml:space="preserve"> during the pre-crisis period.</w:t>
      </w:r>
    </w:p>
    <w:p w14:paraId="0481DAF2" w14:textId="77777777" w:rsidR="0079376A" w:rsidRPr="0054344B" w:rsidRDefault="00472B5F" w:rsidP="00E25502">
      <w:pPr>
        <w:pStyle w:val="PSLeipis"/>
      </w:pPr>
      <w:r w:rsidRPr="0054344B">
        <w:t xml:space="preserve">In contrast to the pre-crisis results, </w:t>
      </w:r>
      <w:r w:rsidR="0079376A" w:rsidRPr="0054344B">
        <w:t>th</w:t>
      </w:r>
      <w:r w:rsidR="000225E4" w:rsidRPr="0054344B">
        <w:t>e empirical evidence gleaned</w:t>
      </w:r>
      <w:r w:rsidRPr="0054344B">
        <w:t xml:space="preserve"> during the post-crisis period </w:t>
      </w:r>
      <w:r w:rsidR="0079376A" w:rsidRPr="0054344B">
        <w:t>reveals that the establishment of an</w:t>
      </w:r>
      <w:r w:rsidR="0079376A" w:rsidRPr="0054344B">
        <w:rPr>
          <w:color w:val="000000"/>
        </w:rPr>
        <w:t xml:space="preserve"> AC</w:t>
      </w:r>
      <w:r w:rsidR="0079376A" w:rsidRPr="0054344B">
        <w:t xml:space="preserve"> during the post-crisis era did not have any effect on </w:t>
      </w:r>
      <w:r w:rsidR="00346230" w:rsidRPr="0054344B">
        <w:t>a</w:t>
      </w:r>
      <w:r w:rsidR="0079376A" w:rsidRPr="0054344B">
        <w:t xml:space="preserve"> firm’s value as a measure of its financial performance. </w:t>
      </w:r>
    </w:p>
    <w:p w14:paraId="04B91C35" w14:textId="122CA2F5" w:rsidR="0079376A" w:rsidRPr="0054344B" w:rsidRDefault="0079376A" w:rsidP="00E25502">
      <w:pPr>
        <w:pStyle w:val="PSLeipis"/>
      </w:pPr>
      <w:r w:rsidRPr="0054344B">
        <w:t>The post-crisis result</w:t>
      </w:r>
      <w:r w:rsidR="000225E4" w:rsidRPr="0054344B">
        <w:t>s indicate</w:t>
      </w:r>
      <w:r w:rsidRPr="0054344B">
        <w:t xml:space="preserve"> no statistically significant relationship between AC adoption and firm value </w:t>
      </w:r>
      <w:r w:rsidR="001A451C" w:rsidRPr="0054344B">
        <w:t xml:space="preserve">between </w:t>
      </w:r>
      <w:r w:rsidR="000225E4" w:rsidRPr="0054344B">
        <w:t xml:space="preserve">2009 </w:t>
      </w:r>
      <w:r w:rsidR="001A451C" w:rsidRPr="0054344B">
        <w:t xml:space="preserve">and </w:t>
      </w:r>
      <w:r w:rsidR="000225E4" w:rsidRPr="0054344B">
        <w:t>2011</w:t>
      </w:r>
      <w:r w:rsidRPr="0054344B">
        <w:t>.  The result</w:t>
      </w:r>
      <w:r w:rsidR="00472B5F" w:rsidRPr="0054344B">
        <w:t>s</w:t>
      </w:r>
      <w:r w:rsidRPr="0054344B">
        <w:t xml:space="preserve"> suggest that even though th</w:t>
      </w:r>
      <w:r w:rsidR="000225E4" w:rsidRPr="0054344B">
        <w:t>e financial crisis was over by</w:t>
      </w:r>
      <w:r w:rsidRPr="0054344B">
        <w:t xml:space="preserve"> 2009, the entire UK economy was experiencing an economic downturn and financial firms were no exception. As the entire economic recovery was very slow, shareholders and investors were still perceiving that financial institutions’ internal corporate governance structures were no different from other sectors of the economy.</w:t>
      </w:r>
      <w:r w:rsidRPr="0054344B">
        <w:rPr>
          <w:lang w:val="en"/>
        </w:rPr>
        <w:t xml:space="preserve"> </w:t>
      </w:r>
      <w:r w:rsidRPr="0054344B">
        <w:t xml:space="preserve">This affected investor confidence and as a result no significant relationship can be seen to exist between </w:t>
      </w:r>
      <w:r w:rsidR="001A451C" w:rsidRPr="0054344B">
        <w:t xml:space="preserve">the </w:t>
      </w:r>
      <w:r w:rsidRPr="0054344B">
        <w:t>financial value</w:t>
      </w:r>
      <w:r w:rsidR="001A451C" w:rsidRPr="0054344B">
        <w:t xml:space="preserve"> of firms and the est</w:t>
      </w:r>
      <w:r w:rsidR="000A2A53" w:rsidRPr="0054344B">
        <w:t>ablishment of an AC</w:t>
      </w:r>
      <w:r w:rsidR="00B4416B" w:rsidRPr="0054344B">
        <w:t>,</w:t>
      </w:r>
      <w:r w:rsidR="00DC41C4">
        <w:t xml:space="preserve"> </w:t>
      </w:r>
      <w:r w:rsidR="00B4416B" w:rsidRPr="0054344B">
        <w:t>(Review of HM Treasury’s response to the financial crisis report, 2012)</w:t>
      </w:r>
      <w:r w:rsidR="00B4416B" w:rsidRPr="0054344B">
        <w:rPr>
          <w:rStyle w:val="FootnoteReference"/>
        </w:rPr>
        <w:footnoteReference w:id="4"/>
      </w:r>
      <w:r w:rsidR="00B4416B" w:rsidRPr="0054344B">
        <w:t xml:space="preserve">.  </w:t>
      </w:r>
    </w:p>
    <w:p w14:paraId="4C7BC9C3" w14:textId="77777777" w:rsidR="000A2A53" w:rsidRPr="0054344B" w:rsidRDefault="000225E4" w:rsidP="00E25502">
      <w:pPr>
        <w:pStyle w:val="PSLeipis"/>
      </w:pPr>
      <w:r w:rsidRPr="0054344B">
        <w:rPr>
          <w:lang w:val="en-US"/>
        </w:rPr>
        <w:t>S</w:t>
      </w:r>
      <w:r w:rsidR="0079376A" w:rsidRPr="0054344B">
        <w:rPr>
          <w:lang w:val="en-US"/>
        </w:rPr>
        <w:t>upporting this e</w:t>
      </w:r>
      <w:r w:rsidRPr="0054344B">
        <w:rPr>
          <w:lang w:val="en-US"/>
        </w:rPr>
        <w:t xml:space="preserve">mpirical outcome </w:t>
      </w:r>
      <w:r w:rsidR="001A451C" w:rsidRPr="0054344B">
        <w:rPr>
          <w:lang w:val="en-US"/>
        </w:rPr>
        <w:t xml:space="preserve">is research </w:t>
      </w:r>
      <w:r w:rsidR="0079376A" w:rsidRPr="0054344B">
        <w:rPr>
          <w:lang w:val="en-US"/>
        </w:rPr>
        <w:t xml:space="preserve">by </w:t>
      </w:r>
      <w:proofErr w:type="spellStart"/>
      <w:r w:rsidR="000A2A53" w:rsidRPr="0054344B">
        <w:t>Yermack</w:t>
      </w:r>
      <w:proofErr w:type="spellEnd"/>
      <w:r w:rsidR="000A2A53" w:rsidRPr="0054344B">
        <w:t xml:space="preserve"> (1996) reporting</w:t>
      </w:r>
      <w:r w:rsidR="00A904FF" w:rsidRPr="0054344B">
        <w:t xml:space="preserve"> </w:t>
      </w:r>
      <w:r w:rsidR="001A451C" w:rsidRPr="0054344B">
        <w:t xml:space="preserve">that </w:t>
      </w:r>
      <w:r w:rsidR="0079376A" w:rsidRPr="0054344B">
        <w:t>the establishment of an AC board had a nega</w:t>
      </w:r>
      <w:r w:rsidRPr="0054344B">
        <w:t xml:space="preserve">tive correlation with </w:t>
      </w:r>
      <w:r w:rsidR="00A904FF" w:rsidRPr="0054344B">
        <w:t xml:space="preserve">a </w:t>
      </w:r>
      <w:r w:rsidRPr="0054344B">
        <w:t>firm’s</w:t>
      </w:r>
      <w:r w:rsidR="0079376A" w:rsidRPr="0054344B">
        <w:t xml:space="preserve"> Tobin’s Q when using a sample of 452 large US industrial corporations between 1984 and 1991. </w:t>
      </w:r>
      <w:proofErr w:type="spellStart"/>
      <w:r w:rsidR="0079376A" w:rsidRPr="0054344B">
        <w:t>Yermack</w:t>
      </w:r>
      <w:r w:rsidRPr="0054344B">
        <w:t>’s</w:t>
      </w:r>
      <w:proofErr w:type="spellEnd"/>
      <w:r w:rsidRPr="0054344B">
        <w:t xml:space="preserve"> findings are</w:t>
      </w:r>
      <w:r w:rsidR="0079376A" w:rsidRPr="0054344B">
        <w:t xml:space="preserve"> consistent with our research outcome.</w:t>
      </w:r>
      <w:r w:rsidR="0079376A" w:rsidRPr="0054344B">
        <w:rPr>
          <w:lang w:val="en-US"/>
        </w:rPr>
        <w:t xml:space="preserve"> </w:t>
      </w:r>
      <w:r w:rsidR="0079376A" w:rsidRPr="0054344B">
        <w:t xml:space="preserve">As Tobin’s Q measures the financial </w:t>
      </w:r>
      <w:r w:rsidRPr="0054344B">
        <w:t>valuation of a firm’s wealth from the investor’s</w:t>
      </w:r>
      <w:r w:rsidR="008501CD" w:rsidRPr="0054344B">
        <w:t xml:space="preserve"> </w:t>
      </w:r>
      <w:r w:rsidR="008501CD" w:rsidRPr="0054344B">
        <w:lastRenderedPageBreak/>
        <w:t xml:space="preserve">or outsider’s perspective, </w:t>
      </w:r>
      <w:r w:rsidR="0079376A" w:rsidRPr="0054344B">
        <w:t>if investors perceive</w:t>
      </w:r>
      <w:r w:rsidR="008501CD" w:rsidRPr="0054344B">
        <w:t xml:space="preserve">d any weakness in </w:t>
      </w:r>
      <w:r w:rsidR="00A904FF" w:rsidRPr="0054344B">
        <w:t xml:space="preserve">a </w:t>
      </w:r>
      <w:r w:rsidR="0079376A" w:rsidRPr="0054344B">
        <w:t>firm’s value, this would have a maj</w:t>
      </w:r>
      <w:r w:rsidR="008501CD" w:rsidRPr="0054344B">
        <w:t>or consequence for the organisation</w:t>
      </w:r>
      <w:r w:rsidR="0079376A" w:rsidRPr="0054344B">
        <w:t>.</w:t>
      </w:r>
    </w:p>
    <w:p w14:paraId="43F813A2" w14:textId="77777777" w:rsidR="00CF0478" w:rsidRPr="0054344B" w:rsidRDefault="0079376A" w:rsidP="00E25502">
      <w:pPr>
        <w:pStyle w:val="PSLeipis"/>
      </w:pPr>
      <w:r w:rsidRPr="0054344B">
        <w:t>Th</w:t>
      </w:r>
      <w:r w:rsidR="008501CD" w:rsidRPr="0054344B">
        <w:t>e empirical evidence gathered</w:t>
      </w:r>
      <w:r w:rsidRPr="0054344B">
        <w:t xml:space="preserve"> during the pre</w:t>
      </w:r>
      <w:r w:rsidR="00BB4B2B" w:rsidRPr="0054344B">
        <w:t xml:space="preserve">- and </w:t>
      </w:r>
      <w:r w:rsidRPr="0054344B">
        <w:t>post</w:t>
      </w:r>
      <w:r w:rsidR="00BB4B2B" w:rsidRPr="0054344B">
        <w:t>-</w:t>
      </w:r>
      <w:r w:rsidRPr="0054344B">
        <w:t xml:space="preserve">financial crisis periods supports the second hypothesis </w:t>
      </w:r>
      <w:r w:rsidRPr="0054344B">
        <w:rPr>
          <w:b/>
        </w:rPr>
        <w:t>(H2)</w:t>
      </w:r>
      <w:r w:rsidRPr="0054344B">
        <w:t>, which states that</w:t>
      </w:r>
      <w:r w:rsidR="000A2A53" w:rsidRPr="0054344B">
        <w:t xml:space="preserve"> </w:t>
      </w:r>
      <w:r w:rsidR="000A2A53" w:rsidRPr="0054344B">
        <w:rPr>
          <w:iCs/>
        </w:rPr>
        <w:t>there is either a positive or a negative relationship between the existence of an audit committee and a firm’s value as a measure of financial performance in UK financial firms during the pre- and post-financial crisis periods</w:t>
      </w:r>
      <w:r w:rsidR="000A2A53" w:rsidRPr="0054344B">
        <w:t>.</w:t>
      </w:r>
    </w:p>
    <w:p w14:paraId="1F1606DE" w14:textId="7F5709BC" w:rsidR="00CF0478" w:rsidRPr="0054344B" w:rsidRDefault="00CF0478" w:rsidP="00E25502">
      <w:pPr>
        <w:pStyle w:val="Heading2"/>
      </w:pPr>
      <w:r w:rsidRPr="0054344B">
        <w:t>4</w:t>
      </w:r>
      <w:r w:rsidR="00730659" w:rsidRPr="0054344B">
        <w:t>.4</w:t>
      </w:r>
      <w:r w:rsidRPr="0054344B">
        <w:t xml:space="preserve"> </w:t>
      </w:r>
      <w:r w:rsidR="00E25502">
        <w:tab/>
      </w:r>
      <w:r w:rsidR="00A904FF" w:rsidRPr="0054344B">
        <w:t xml:space="preserve">Checking the </w:t>
      </w:r>
      <w:r w:rsidRPr="0054344B">
        <w:t>Robustness of the Results</w:t>
      </w:r>
    </w:p>
    <w:p w14:paraId="76D6B70C" w14:textId="77777777" w:rsidR="0079376A" w:rsidRPr="0054344B" w:rsidRDefault="00CF0478" w:rsidP="00E25502">
      <w:pPr>
        <w:pStyle w:val="PSLeipis"/>
      </w:pPr>
      <w:r w:rsidRPr="0054344B">
        <w:t xml:space="preserve">In checking the robustness of the results, </w:t>
      </w:r>
      <w:r w:rsidR="001A451C" w:rsidRPr="0054344B">
        <w:t>r</w:t>
      </w:r>
      <w:r w:rsidRPr="0054344B">
        <w:t xml:space="preserve">andom </w:t>
      </w:r>
      <w:r w:rsidR="001A451C" w:rsidRPr="0054344B">
        <w:t>e</w:t>
      </w:r>
      <w:r w:rsidRPr="0054344B">
        <w:t xml:space="preserve">ffects (RE) and </w:t>
      </w:r>
      <w:r w:rsidR="001A451C" w:rsidRPr="0054344B">
        <w:t>f</w:t>
      </w:r>
      <w:r w:rsidRPr="0054344B">
        <w:t xml:space="preserve">ixed </w:t>
      </w:r>
      <w:r w:rsidR="001A451C" w:rsidRPr="0054344B">
        <w:t>e</w:t>
      </w:r>
      <w:r w:rsidRPr="0054344B">
        <w:t>ffects (FE) were conducted according to the Durbin-Wu-</w:t>
      </w:r>
      <w:proofErr w:type="spellStart"/>
      <w:r w:rsidRPr="0054344B">
        <w:t>Hausman</w:t>
      </w:r>
      <w:proofErr w:type="spellEnd"/>
      <w:r w:rsidRPr="0054344B">
        <w:t>-</w:t>
      </w:r>
      <w:proofErr w:type="spellStart"/>
      <w:r w:rsidRPr="0054344B">
        <w:t>Hausman</w:t>
      </w:r>
      <w:proofErr w:type="spellEnd"/>
      <w:r w:rsidRPr="0054344B">
        <w:t xml:space="preserve"> </w:t>
      </w:r>
      <w:proofErr w:type="spellStart"/>
      <w:r w:rsidRPr="0054344B">
        <w:t>exogeneity</w:t>
      </w:r>
      <w:proofErr w:type="spellEnd"/>
      <w:r w:rsidRPr="0054344B">
        <w:t xml:space="preserve"> test. The tests indicated that the results were consistent with each other and robust. The robustness or sensitivity analysis suggested that the results shown were stable across a number of proxies.</w:t>
      </w:r>
    </w:p>
    <w:p w14:paraId="263937D4" w14:textId="4AE5C4CA" w:rsidR="0079376A" w:rsidRPr="0054344B" w:rsidRDefault="0079376A" w:rsidP="00E25502">
      <w:pPr>
        <w:pStyle w:val="Heading2"/>
      </w:pPr>
      <w:r w:rsidRPr="0054344B">
        <w:t xml:space="preserve">4.5 </w:t>
      </w:r>
      <w:r w:rsidR="00E25502">
        <w:tab/>
      </w:r>
      <w:r w:rsidRPr="0054344B">
        <w:t xml:space="preserve">Controlling for </w:t>
      </w:r>
      <w:r w:rsidR="008501CD" w:rsidRPr="0054344B">
        <w:t xml:space="preserve">Endogeneity – additional </w:t>
      </w:r>
      <w:r w:rsidR="008E5E45" w:rsidRPr="0054344B">
        <w:t>analyse</w:t>
      </w:r>
      <w:r w:rsidRPr="0054344B">
        <w:t>s</w:t>
      </w:r>
    </w:p>
    <w:p w14:paraId="61530FC4" w14:textId="77777777" w:rsidR="0079376A" w:rsidRPr="0054344B" w:rsidRDefault="00A904FF" w:rsidP="00E25502">
      <w:pPr>
        <w:pStyle w:val="PSLeipis"/>
      </w:pPr>
      <w:r w:rsidRPr="0054344B">
        <w:t>An e</w:t>
      </w:r>
      <w:r w:rsidR="0063220D" w:rsidRPr="0054344B">
        <w:t>ndogeneity issue occurs when</w:t>
      </w:r>
      <w:r w:rsidR="000C0778" w:rsidRPr="0054344B">
        <w:t xml:space="preserve"> the independent variable is correlated with the error term. </w:t>
      </w:r>
      <w:r w:rsidR="0079376A" w:rsidRPr="0054344B">
        <w:t>In establishing the relationship between</w:t>
      </w:r>
      <w:r w:rsidR="0079376A" w:rsidRPr="0054344B">
        <w:rPr>
          <w:color w:val="000000"/>
        </w:rPr>
        <w:t xml:space="preserve"> AC</w:t>
      </w:r>
      <w:r w:rsidR="0079376A" w:rsidRPr="0054344B">
        <w:t xml:space="preserve"> and firm financial performance, the regressions were</w:t>
      </w:r>
      <w:r w:rsidR="008501CD" w:rsidRPr="0054344B">
        <w:t xml:space="preserve"> lagged. In controlling for </w:t>
      </w:r>
      <w:r w:rsidR="0079376A" w:rsidRPr="0054344B">
        <w:t>endogeneity, we re-estimated all the regression</w:t>
      </w:r>
      <w:r w:rsidR="001A451C" w:rsidRPr="0054344B">
        <w:t>s</w:t>
      </w:r>
      <w:r w:rsidR="0079376A" w:rsidRPr="0054344B">
        <w:t xml:space="preserve"> with lagged values for all the variables and they were significant. For example, this research followed similar</w:t>
      </w:r>
      <w:r w:rsidR="000C0778" w:rsidRPr="0054344B">
        <w:t xml:space="preserve"> endogeneity</w:t>
      </w:r>
      <w:r w:rsidR="0079376A" w:rsidRPr="0054344B">
        <w:t xml:space="preserve"> work by </w:t>
      </w:r>
      <w:proofErr w:type="spellStart"/>
      <w:r w:rsidR="0079376A" w:rsidRPr="0054344B">
        <w:t>Fich</w:t>
      </w:r>
      <w:proofErr w:type="spellEnd"/>
      <w:r w:rsidR="0079376A" w:rsidRPr="0054344B">
        <w:t xml:space="preserve"> and </w:t>
      </w:r>
      <w:proofErr w:type="spellStart"/>
      <w:r w:rsidR="0079376A" w:rsidRPr="0054344B">
        <w:t>Shivdasani</w:t>
      </w:r>
      <w:proofErr w:type="spellEnd"/>
      <w:r w:rsidR="0079376A" w:rsidRPr="0054344B">
        <w:t xml:space="preserve"> (2006). Krishnan et al. (2011), </w:t>
      </w:r>
      <w:proofErr w:type="spellStart"/>
      <w:r w:rsidR="0079376A" w:rsidRPr="0054344B">
        <w:t>Danso</w:t>
      </w:r>
      <w:proofErr w:type="spellEnd"/>
      <w:r w:rsidR="0079376A" w:rsidRPr="0054344B">
        <w:t xml:space="preserve"> and </w:t>
      </w:r>
      <w:proofErr w:type="spellStart"/>
      <w:r w:rsidR="0079376A" w:rsidRPr="0054344B">
        <w:t>Adomako</w:t>
      </w:r>
      <w:proofErr w:type="spellEnd"/>
      <w:r w:rsidR="0079376A" w:rsidRPr="0054344B">
        <w:t xml:space="preserve"> (2014), and </w:t>
      </w:r>
      <w:proofErr w:type="spellStart"/>
      <w:r w:rsidR="0079376A" w:rsidRPr="0054344B">
        <w:t>Zagorchev</w:t>
      </w:r>
      <w:proofErr w:type="spellEnd"/>
      <w:r w:rsidR="0079376A" w:rsidRPr="0054344B">
        <w:t xml:space="preserve"> and Gao (2015).</w:t>
      </w:r>
    </w:p>
    <w:p w14:paraId="278EEA56" w14:textId="7514922B" w:rsidR="00DA4F23" w:rsidRDefault="0079376A" w:rsidP="00E25502">
      <w:pPr>
        <w:pStyle w:val="PSLeipis"/>
      </w:pPr>
      <w:r w:rsidRPr="0054344B">
        <w:t xml:space="preserve"> Although this research has addressed the endogeneity problems</w:t>
      </w:r>
      <w:r w:rsidR="008501CD" w:rsidRPr="0054344B">
        <w:t xml:space="preserve"> by estimating a lagged value for</w:t>
      </w:r>
      <w:r w:rsidRPr="0054344B">
        <w:t xml:space="preserve"> each variable, we admit that it is extremely difficult to eliminate all potential endogenous associations</w:t>
      </w:r>
      <w:r w:rsidR="002B1E5A" w:rsidRPr="0054344B">
        <w:t xml:space="preserve"> – </w:t>
      </w:r>
      <w:r w:rsidRPr="0054344B">
        <w:t xml:space="preserve">as </w:t>
      </w:r>
      <w:r w:rsidR="002B1E5A" w:rsidRPr="0054344B">
        <w:t xml:space="preserve">has been </w:t>
      </w:r>
      <w:r w:rsidRPr="0054344B">
        <w:t>suggested by prior studies (</w:t>
      </w:r>
      <w:proofErr w:type="spellStart"/>
      <w:r w:rsidRPr="0054344B">
        <w:t>Ntim</w:t>
      </w:r>
      <w:proofErr w:type="spellEnd"/>
      <w:r w:rsidRPr="0054344B">
        <w:t xml:space="preserve"> 2013). </w:t>
      </w:r>
    </w:p>
    <w:p w14:paraId="30C0A7C8" w14:textId="7730FC8E" w:rsidR="0079376A" w:rsidRPr="0054344B" w:rsidRDefault="0079376A" w:rsidP="00E25502">
      <w:pPr>
        <w:pStyle w:val="Heading1"/>
      </w:pPr>
      <w:r w:rsidRPr="0054344B">
        <w:t xml:space="preserve">Summary and Conclusions </w:t>
      </w:r>
    </w:p>
    <w:p w14:paraId="6C5D715D" w14:textId="77777777" w:rsidR="0079376A" w:rsidRPr="0054344B" w:rsidRDefault="00B4416B" w:rsidP="00E25502">
      <w:pPr>
        <w:pStyle w:val="PSLeipis"/>
      </w:pPr>
      <w:r w:rsidRPr="0054344B">
        <w:t xml:space="preserve">This paper has investigated the association between the adoption of an </w:t>
      </w:r>
      <w:r w:rsidRPr="0054344B">
        <w:rPr>
          <w:color w:val="000000"/>
        </w:rPr>
        <w:t>AC</w:t>
      </w:r>
      <w:r w:rsidRPr="0054344B">
        <w:t xml:space="preserve"> and firm’s value using a sample of 63 financial institutions from 2000-2011</w:t>
      </w:r>
      <w:r w:rsidR="0079376A" w:rsidRPr="0054344B">
        <w:t xml:space="preserve">. This empirical research has underpinned the finding that the establishment of an </w:t>
      </w:r>
      <w:r w:rsidR="0079376A" w:rsidRPr="0054344B">
        <w:rPr>
          <w:color w:val="000000"/>
        </w:rPr>
        <w:t>AC</w:t>
      </w:r>
      <w:r w:rsidR="0079376A" w:rsidRPr="0054344B">
        <w:t xml:space="preserve"> has a positive and statistically significant effect on </w:t>
      </w:r>
      <w:r w:rsidR="002B1E5A" w:rsidRPr="0054344B">
        <w:t xml:space="preserve">a </w:t>
      </w:r>
      <w:r w:rsidR="0079376A" w:rsidRPr="0054344B">
        <w:t xml:space="preserve">firm’s value. The pre-crisis </w:t>
      </w:r>
      <w:r w:rsidR="0079376A" w:rsidRPr="0054344B">
        <w:lastRenderedPageBreak/>
        <w:t>period</w:t>
      </w:r>
      <w:r w:rsidR="008501CD" w:rsidRPr="0054344B">
        <w:t xml:space="preserve"> also</w:t>
      </w:r>
      <w:r w:rsidR="0079376A" w:rsidRPr="0054344B">
        <w:t xml:space="preserve"> indicates that the establishment of an </w:t>
      </w:r>
      <w:r w:rsidR="0079376A" w:rsidRPr="0054344B">
        <w:rPr>
          <w:color w:val="000000"/>
        </w:rPr>
        <w:t>AC</w:t>
      </w:r>
      <w:r w:rsidR="008501CD" w:rsidRPr="0054344B">
        <w:t xml:space="preserve"> </w:t>
      </w:r>
      <w:r w:rsidR="0079376A" w:rsidRPr="0054344B">
        <w:t xml:space="preserve">has a positive and statistically significant effect on </w:t>
      </w:r>
      <w:r w:rsidR="002B1E5A" w:rsidRPr="0054344B">
        <w:t xml:space="preserve">a </w:t>
      </w:r>
      <w:r w:rsidR="0079376A" w:rsidRPr="0054344B">
        <w:t>firm’s value.</w:t>
      </w:r>
    </w:p>
    <w:p w14:paraId="57D2EFF3" w14:textId="77777777" w:rsidR="0079376A" w:rsidRPr="0054344B" w:rsidRDefault="0079376A" w:rsidP="00E25502">
      <w:pPr>
        <w:pStyle w:val="PSLeipis"/>
      </w:pPr>
      <w:r w:rsidRPr="0054344B">
        <w:t>However, the establishment of an</w:t>
      </w:r>
      <w:r w:rsidRPr="0054344B">
        <w:rPr>
          <w:color w:val="000000"/>
        </w:rPr>
        <w:t xml:space="preserve"> AC</w:t>
      </w:r>
      <w:r w:rsidRPr="0054344B">
        <w:t xml:space="preserve"> did not impact on </w:t>
      </w:r>
      <w:r w:rsidR="002B1E5A" w:rsidRPr="0054344B">
        <w:t xml:space="preserve">a </w:t>
      </w:r>
      <w:r w:rsidRPr="0054344B">
        <w:t>firm’s value during the post-financial crisis period. The post-crisis result</w:t>
      </w:r>
      <w:r w:rsidR="008501CD" w:rsidRPr="0054344B">
        <w:t>s indicate</w:t>
      </w:r>
      <w:r w:rsidRPr="0054344B">
        <w:t xml:space="preserve"> that </w:t>
      </w:r>
      <w:r w:rsidR="0038662A" w:rsidRPr="0054344B">
        <w:t xml:space="preserve">an </w:t>
      </w:r>
      <w:r w:rsidRPr="0054344B">
        <w:t xml:space="preserve">AC has no statistically significant relationship with </w:t>
      </w:r>
      <w:r w:rsidR="001A451C" w:rsidRPr="0054344B">
        <w:t xml:space="preserve">a </w:t>
      </w:r>
      <w:r w:rsidRPr="0054344B">
        <w:t xml:space="preserve">firm’s value. Our results suggest that, even though the financial crisis was over </w:t>
      </w:r>
      <w:r w:rsidR="001A451C" w:rsidRPr="0054344B">
        <w:t xml:space="preserve">after </w:t>
      </w:r>
      <w:r w:rsidRPr="0054344B">
        <w:t xml:space="preserve">2009, the entire UK economy was </w:t>
      </w:r>
      <w:r w:rsidR="002B1E5A" w:rsidRPr="0054344B">
        <w:t xml:space="preserve">still </w:t>
      </w:r>
      <w:r w:rsidRPr="0054344B">
        <w:t xml:space="preserve">experiencing </w:t>
      </w:r>
      <w:r w:rsidR="002B1E5A" w:rsidRPr="0054344B">
        <w:t xml:space="preserve">the effects of </w:t>
      </w:r>
      <w:r w:rsidRPr="0054344B">
        <w:t>an economic downturn and financial firms were no exception</w:t>
      </w:r>
      <w:r w:rsidR="000C0778" w:rsidRPr="0054344B">
        <w:t xml:space="preserve"> (</w:t>
      </w:r>
      <w:r w:rsidR="002D251A" w:rsidRPr="0054344B">
        <w:t>Review of HM Treasury’s response to the financial crisis report, 2012)</w:t>
      </w:r>
      <w:r w:rsidR="00B4416B" w:rsidRPr="0054344B">
        <w:rPr>
          <w:rStyle w:val="FootnoteReference"/>
        </w:rPr>
        <w:footnoteReference w:id="5"/>
      </w:r>
      <w:r w:rsidRPr="0054344B">
        <w:t xml:space="preserve">.  </w:t>
      </w:r>
    </w:p>
    <w:p w14:paraId="524C1E29" w14:textId="77777777" w:rsidR="0079376A" w:rsidRPr="0054344B" w:rsidRDefault="0079376A" w:rsidP="00E25502">
      <w:pPr>
        <w:pStyle w:val="PSLeipis"/>
      </w:pPr>
      <w:r w:rsidRPr="0054344B">
        <w:t>This paper contributes to the existing theoretical corporate governance lit</w:t>
      </w:r>
      <w:r w:rsidR="008501CD" w:rsidRPr="0054344B">
        <w:t>erature in the following ways: t</w:t>
      </w:r>
      <w:r w:rsidR="00472B5F" w:rsidRPr="0054344B">
        <w:t>he paper reaffirms</w:t>
      </w:r>
      <w:r w:rsidRPr="0054344B">
        <w:t xml:space="preserve"> that the corporate governance code in the UK addresses any agency cost</w:t>
      </w:r>
      <w:r w:rsidR="008501CD" w:rsidRPr="0054344B">
        <w:t>s that exist</w:t>
      </w:r>
      <w:r w:rsidRPr="0054344B">
        <w:t xml:space="preserve"> among firms, and the adoption of </w:t>
      </w:r>
      <w:r w:rsidR="002B1E5A" w:rsidRPr="0054344B">
        <w:t>an</w:t>
      </w:r>
      <w:r w:rsidRPr="0054344B">
        <w:t xml:space="preserve"> AC as part of </w:t>
      </w:r>
      <w:r w:rsidR="001A451C" w:rsidRPr="0054344B">
        <w:t xml:space="preserve">a </w:t>
      </w:r>
      <w:r w:rsidRPr="0054344B">
        <w:t>best corporate governance practice will help reduce agency cost</w:t>
      </w:r>
      <w:r w:rsidR="008501CD" w:rsidRPr="0054344B">
        <w:t>s</w:t>
      </w:r>
      <w:r w:rsidRPr="0054344B">
        <w:t xml:space="preserve"> and information a</w:t>
      </w:r>
      <w:r w:rsidR="008501CD" w:rsidRPr="0054344B">
        <w:t>symmetry by ensuring that a firm’s</w:t>
      </w:r>
      <w:r w:rsidRPr="0054344B">
        <w:t xml:space="preserve"> activities are cond</w:t>
      </w:r>
      <w:r w:rsidR="008501CD" w:rsidRPr="0054344B">
        <w:t>ucted in line with the principal</w:t>
      </w:r>
      <w:r w:rsidR="00F260A7" w:rsidRPr="0054344B">
        <w:t>’s</w:t>
      </w:r>
      <w:r w:rsidR="008501CD" w:rsidRPr="0054344B">
        <w:t xml:space="preserve"> and </w:t>
      </w:r>
      <w:r w:rsidR="00F260A7" w:rsidRPr="0054344B">
        <w:t xml:space="preserve">the </w:t>
      </w:r>
      <w:r w:rsidRPr="0054344B">
        <w:t>agent’s expectations. Therefore, our result is consistent with agency theory predictions. The paper also gives a better understanding of AC adoption and its financial impact on UK fi</w:t>
      </w:r>
      <w:r w:rsidR="00472B5F" w:rsidRPr="0054344B">
        <w:t>n</w:t>
      </w:r>
      <w:r w:rsidRPr="0054344B">
        <w:t>ancia</w:t>
      </w:r>
      <w:r w:rsidR="008501CD" w:rsidRPr="0054344B">
        <w:t xml:space="preserve">l institutions. This </w:t>
      </w:r>
      <w:r w:rsidRPr="0054344B">
        <w:t>support</w:t>
      </w:r>
      <w:r w:rsidR="008501CD" w:rsidRPr="0054344B">
        <w:t>s</w:t>
      </w:r>
      <w:r w:rsidRPr="0054344B">
        <w:t xml:space="preserve"> the given hypotheses and attes</w:t>
      </w:r>
      <w:r w:rsidR="008501CD" w:rsidRPr="0054344B">
        <w:t>ts</w:t>
      </w:r>
      <w:r w:rsidRPr="0054344B">
        <w:t xml:space="preserve"> that the adoption of </w:t>
      </w:r>
      <w:r w:rsidR="002B1E5A" w:rsidRPr="0054344B">
        <w:t xml:space="preserve">an </w:t>
      </w:r>
      <w:r w:rsidRPr="0054344B">
        <w:t xml:space="preserve">AC by </w:t>
      </w:r>
      <w:r w:rsidR="00F260A7" w:rsidRPr="0054344B">
        <w:t xml:space="preserve">a </w:t>
      </w:r>
      <w:r w:rsidRPr="0054344B">
        <w:t>UK financial institution</w:t>
      </w:r>
      <w:r w:rsidR="00F260A7" w:rsidRPr="0054344B">
        <w:t xml:space="preserve"> will</w:t>
      </w:r>
      <w:r w:rsidRPr="0054344B">
        <w:t xml:space="preserve"> improve their corporate governance mechanism</w:t>
      </w:r>
      <w:r w:rsidR="008501CD" w:rsidRPr="0054344B">
        <w:t>s</w:t>
      </w:r>
      <w:r w:rsidRPr="0054344B">
        <w:t xml:space="preserve">. </w:t>
      </w:r>
    </w:p>
    <w:p w14:paraId="4D2DDF6A" w14:textId="77777777" w:rsidR="0079376A" w:rsidRPr="0054344B" w:rsidRDefault="0079376A" w:rsidP="00E25502">
      <w:pPr>
        <w:pStyle w:val="PSLeipis"/>
      </w:pPr>
      <w:r w:rsidRPr="0054344B">
        <w:t xml:space="preserve">This study </w:t>
      </w:r>
      <w:r w:rsidR="00F260A7" w:rsidRPr="0054344B">
        <w:t xml:space="preserve">has </w:t>
      </w:r>
      <w:r w:rsidRPr="0054344B">
        <w:t>addi</w:t>
      </w:r>
      <w:r w:rsidR="008501CD" w:rsidRPr="0054344B">
        <w:t>tional practical implications for</w:t>
      </w:r>
      <w:r w:rsidRPr="0054344B">
        <w:t xml:space="preserve"> the AC debate. First, </w:t>
      </w:r>
      <w:r w:rsidR="008501CD" w:rsidRPr="0054344B">
        <w:rPr>
          <w:color w:val="212121"/>
          <w:shd w:val="clear" w:color="auto" w:fill="FFFFFF"/>
        </w:rPr>
        <w:t xml:space="preserve">the adoption of </w:t>
      </w:r>
      <w:r w:rsidR="002B1E5A" w:rsidRPr="0054344B">
        <w:rPr>
          <w:color w:val="212121"/>
          <w:shd w:val="clear" w:color="auto" w:fill="FFFFFF"/>
        </w:rPr>
        <w:t xml:space="preserve">an </w:t>
      </w:r>
      <w:r w:rsidR="008501CD" w:rsidRPr="0054344B">
        <w:rPr>
          <w:color w:val="212121"/>
          <w:shd w:val="clear" w:color="auto" w:fill="FFFFFF"/>
        </w:rPr>
        <w:t xml:space="preserve">AC by </w:t>
      </w:r>
      <w:r w:rsidR="002B1E5A" w:rsidRPr="0054344B">
        <w:rPr>
          <w:color w:val="212121"/>
          <w:shd w:val="clear" w:color="auto" w:fill="FFFFFF"/>
        </w:rPr>
        <w:t xml:space="preserve">a </w:t>
      </w:r>
      <w:r w:rsidR="008501CD" w:rsidRPr="0054344B">
        <w:rPr>
          <w:color w:val="212121"/>
          <w:shd w:val="clear" w:color="auto" w:fill="FFFFFF"/>
        </w:rPr>
        <w:t>firm</w:t>
      </w:r>
      <w:r w:rsidR="002B1E5A" w:rsidRPr="0054344B">
        <w:rPr>
          <w:color w:val="212121"/>
          <w:shd w:val="clear" w:color="auto" w:fill="FFFFFF"/>
        </w:rPr>
        <w:t xml:space="preserve"> will</w:t>
      </w:r>
      <w:r w:rsidR="0038662A" w:rsidRPr="0054344B">
        <w:rPr>
          <w:color w:val="212121"/>
          <w:shd w:val="clear" w:color="auto" w:fill="FFFFFF"/>
        </w:rPr>
        <w:t xml:space="preserve"> improve</w:t>
      </w:r>
      <w:r w:rsidRPr="0054344B">
        <w:rPr>
          <w:color w:val="212121"/>
          <w:shd w:val="clear" w:color="auto" w:fill="FFFFFF"/>
        </w:rPr>
        <w:t xml:space="preserve"> </w:t>
      </w:r>
      <w:r w:rsidR="002B1E5A" w:rsidRPr="0054344B">
        <w:rPr>
          <w:color w:val="212121"/>
          <w:shd w:val="clear" w:color="auto" w:fill="FFFFFF"/>
        </w:rPr>
        <w:t xml:space="preserve">its </w:t>
      </w:r>
      <w:r w:rsidRPr="0054344B">
        <w:rPr>
          <w:color w:val="212121"/>
          <w:shd w:val="clear" w:color="auto" w:fill="FFFFFF"/>
        </w:rPr>
        <w:t>accountability, transparency and</w:t>
      </w:r>
      <w:r w:rsidR="008501CD" w:rsidRPr="0054344B">
        <w:rPr>
          <w:color w:val="212121"/>
          <w:shd w:val="clear" w:color="auto" w:fill="FFFFFF"/>
        </w:rPr>
        <w:t xml:space="preserve"> responsiveness to shareholders;</w:t>
      </w:r>
      <w:r w:rsidRPr="0054344B">
        <w:rPr>
          <w:color w:val="212121"/>
          <w:shd w:val="clear" w:color="auto" w:fill="FFFFFF"/>
        </w:rPr>
        <w:t xml:space="preserve"> the establishment of </w:t>
      </w:r>
      <w:r w:rsidR="00F260A7" w:rsidRPr="0054344B">
        <w:rPr>
          <w:color w:val="212121"/>
          <w:shd w:val="clear" w:color="auto" w:fill="FFFFFF"/>
        </w:rPr>
        <w:t xml:space="preserve">an </w:t>
      </w:r>
      <w:r w:rsidRPr="0054344B">
        <w:rPr>
          <w:color w:val="212121"/>
          <w:shd w:val="clear" w:color="auto" w:fill="FFFFFF"/>
        </w:rPr>
        <w:t>AC enhances the board</w:t>
      </w:r>
      <w:r w:rsidR="002B1E5A" w:rsidRPr="0054344B">
        <w:rPr>
          <w:color w:val="212121"/>
          <w:shd w:val="clear" w:color="auto" w:fill="FFFFFF"/>
        </w:rPr>
        <w:t xml:space="preserve"> of directors</w:t>
      </w:r>
      <w:r w:rsidRPr="0054344B">
        <w:rPr>
          <w:color w:val="212121"/>
          <w:shd w:val="clear" w:color="auto" w:fill="FFFFFF"/>
        </w:rPr>
        <w:t>’ monitoring and oversight responsibility,</w:t>
      </w:r>
      <w:r w:rsidRPr="0054344B">
        <w:rPr>
          <w:lang w:val="en-US"/>
        </w:rPr>
        <w:t xml:space="preserve"> improves </w:t>
      </w:r>
      <w:r w:rsidR="00F260A7" w:rsidRPr="0054344B">
        <w:rPr>
          <w:lang w:val="en-US"/>
        </w:rPr>
        <w:t xml:space="preserve">a </w:t>
      </w:r>
      <w:r w:rsidRPr="0054344B">
        <w:rPr>
          <w:lang w:val="en-US"/>
        </w:rPr>
        <w:t xml:space="preserve">firm’s </w:t>
      </w:r>
      <w:r w:rsidR="00B03E1E" w:rsidRPr="0054344B">
        <w:rPr>
          <w:lang w:val="en-US"/>
        </w:rPr>
        <w:t xml:space="preserve">risk management systems; </w:t>
      </w:r>
      <w:r w:rsidR="008501CD" w:rsidRPr="0054344B">
        <w:rPr>
          <w:lang w:val="en-US"/>
        </w:rPr>
        <w:t>helps to improve</w:t>
      </w:r>
      <w:r w:rsidRPr="0054344B">
        <w:rPr>
          <w:lang w:val="en-US"/>
        </w:rPr>
        <w:t xml:space="preserve"> audit quality and </w:t>
      </w:r>
      <w:r w:rsidR="002B1E5A" w:rsidRPr="0054344B">
        <w:rPr>
          <w:lang w:val="en-US"/>
        </w:rPr>
        <w:t xml:space="preserve">also </w:t>
      </w:r>
      <w:r w:rsidRPr="0054344B">
        <w:rPr>
          <w:lang w:val="en-US"/>
        </w:rPr>
        <w:t>influence</w:t>
      </w:r>
      <w:r w:rsidR="0038662A" w:rsidRPr="0054344B">
        <w:rPr>
          <w:lang w:val="en-US"/>
        </w:rPr>
        <w:t>s</w:t>
      </w:r>
      <w:r w:rsidRPr="0054344B">
        <w:rPr>
          <w:lang w:val="en-US"/>
        </w:rPr>
        <w:t xml:space="preserve"> accounting information delivery</w:t>
      </w:r>
      <w:r w:rsidR="008501CD" w:rsidRPr="0054344B">
        <w:rPr>
          <w:lang w:val="en-US"/>
        </w:rPr>
        <w:t xml:space="preserve"> </w:t>
      </w:r>
      <w:r w:rsidRPr="0054344B">
        <w:rPr>
          <w:lang w:val="en-US"/>
        </w:rPr>
        <w:t>(Krause and Tse, 2016;</w:t>
      </w:r>
      <w:r w:rsidRPr="0054344B">
        <w:rPr>
          <w:color w:val="212121"/>
          <w:shd w:val="clear" w:color="auto" w:fill="FFFFFF"/>
        </w:rPr>
        <w:t xml:space="preserve"> </w:t>
      </w:r>
      <w:r w:rsidRPr="0054344B">
        <w:rPr>
          <w:lang w:val="en-US"/>
        </w:rPr>
        <w:t>Karim et al. 2013).</w:t>
      </w:r>
      <w:r w:rsidRPr="0054344B">
        <w:t xml:space="preserve"> Furthermore, this research evidence should be useful to policy makers, regulators and practitioners. Policy makers and regulators will </w:t>
      </w:r>
      <w:r w:rsidR="002B1E5A" w:rsidRPr="0054344B">
        <w:t xml:space="preserve">have empirical evidence to better understand </w:t>
      </w:r>
      <w:r w:rsidRPr="0054344B">
        <w:t>the impact of</w:t>
      </w:r>
      <w:r w:rsidR="0038662A" w:rsidRPr="0054344B">
        <w:t xml:space="preserve"> various AC reforms.</w:t>
      </w:r>
      <w:r w:rsidR="007C2EE5" w:rsidRPr="0054344B">
        <w:t xml:space="preserve"> </w:t>
      </w:r>
      <w:r w:rsidR="0038662A" w:rsidRPr="0054344B">
        <w:t>The</w:t>
      </w:r>
      <w:r w:rsidR="007C2EE5" w:rsidRPr="0054344B">
        <w:t xml:space="preserve"> results will also encourage</w:t>
      </w:r>
      <w:r w:rsidRPr="0054344B">
        <w:t xml:space="preserve"> practitioners to maintain </w:t>
      </w:r>
      <w:r w:rsidR="007C2EE5" w:rsidRPr="0054344B">
        <w:t xml:space="preserve">robust </w:t>
      </w:r>
      <w:r w:rsidRPr="0054344B">
        <w:t>AC proc</w:t>
      </w:r>
      <w:r w:rsidR="007C2EE5" w:rsidRPr="0054344B">
        <w:t>edures</w:t>
      </w:r>
      <w:r w:rsidRPr="0054344B">
        <w:t>.</w:t>
      </w:r>
    </w:p>
    <w:p w14:paraId="73E0BB26" w14:textId="77777777" w:rsidR="0079376A" w:rsidRPr="0054344B" w:rsidRDefault="007C2EE5" w:rsidP="00E25502">
      <w:pPr>
        <w:pStyle w:val="PSLeipis"/>
      </w:pPr>
      <w:r w:rsidRPr="0054344B">
        <w:t xml:space="preserve">In terms of </w:t>
      </w:r>
      <w:r w:rsidR="0079376A" w:rsidRPr="0054344B">
        <w:t>research limitation</w:t>
      </w:r>
      <w:r w:rsidRPr="0054344B">
        <w:t>s</w:t>
      </w:r>
      <w:r w:rsidR="0079376A" w:rsidRPr="0054344B">
        <w:t>, th</w:t>
      </w:r>
      <w:r w:rsidR="00F260A7" w:rsidRPr="0054344B">
        <w:t>is</w:t>
      </w:r>
      <w:r w:rsidR="0079376A" w:rsidRPr="0054344B">
        <w:t xml:space="preserve"> paper only </w:t>
      </w:r>
      <w:r w:rsidR="002B1E5A" w:rsidRPr="0054344B">
        <w:t xml:space="preserve">examines </w:t>
      </w:r>
      <w:r w:rsidR="00B4416B" w:rsidRPr="0054344B">
        <w:t>UK financial institution</w:t>
      </w:r>
      <w:r w:rsidR="0079376A" w:rsidRPr="0054344B">
        <w:t>s, and so the</w:t>
      </w:r>
      <w:r w:rsidRPr="0054344B">
        <w:t xml:space="preserve"> results may not</w:t>
      </w:r>
      <w:r w:rsidR="00B03E1E" w:rsidRPr="0054344B">
        <w:t xml:space="preserve"> be widely</w:t>
      </w:r>
      <w:r w:rsidR="002B1E5A" w:rsidRPr="0054344B">
        <w:t xml:space="preserve"> applicable</w:t>
      </w:r>
      <w:r w:rsidR="00B4416B" w:rsidRPr="0054344B">
        <w:t xml:space="preserve"> to other sectors</w:t>
      </w:r>
      <w:r w:rsidR="00A23F25" w:rsidRPr="0054344B">
        <w:t xml:space="preserve"> of the economy</w:t>
      </w:r>
      <w:r w:rsidR="0079376A" w:rsidRPr="0054344B">
        <w:t xml:space="preserve">. Future studies can look at the impact of </w:t>
      </w:r>
      <w:r w:rsidR="0079376A" w:rsidRPr="0054344B">
        <w:rPr>
          <w:color w:val="000000"/>
        </w:rPr>
        <w:t>AC</w:t>
      </w:r>
      <w:r w:rsidR="00F260A7" w:rsidRPr="0054344B">
        <w:rPr>
          <w:color w:val="000000"/>
        </w:rPr>
        <w:t>s</w:t>
      </w:r>
      <w:r w:rsidR="00A23F25" w:rsidRPr="0054344B">
        <w:t xml:space="preserve"> in other sectors</w:t>
      </w:r>
      <w:r w:rsidR="0079376A" w:rsidRPr="0054344B">
        <w:t>; for example, its impact on the manufacturing industry in the UK during the pre</w:t>
      </w:r>
      <w:r w:rsidR="00F260A7" w:rsidRPr="0054344B">
        <w:t xml:space="preserve">- and </w:t>
      </w:r>
      <w:r w:rsidR="0079376A" w:rsidRPr="0054344B">
        <w:t>post</w:t>
      </w:r>
      <w:r w:rsidR="00F260A7" w:rsidRPr="0054344B">
        <w:t>-</w:t>
      </w:r>
      <w:r w:rsidR="0038662A" w:rsidRPr="0054344B">
        <w:t xml:space="preserve">crisis </w:t>
      </w:r>
      <w:r w:rsidR="0079376A" w:rsidRPr="0054344B">
        <w:t xml:space="preserve">periods. Other future studies can also look at the effect of the establishment of an </w:t>
      </w:r>
      <w:r w:rsidR="0079376A" w:rsidRPr="0054344B">
        <w:rPr>
          <w:color w:val="000000"/>
        </w:rPr>
        <w:t>AC</w:t>
      </w:r>
      <w:r w:rsidR="0079376A" w:rsidRPr="0054344B">
        <w:t xml:space="preserve"> on </w:t>
      </w:r>
      <w:r w:rsidR="00F260A7" w:rsidRPr="0054344B">
        <w:t xml:space="preserve">the </w:t>
      </w:r>
      <w:r w:rsidR="0079376A" w:rsidRPr="0054344B">
        <w:t>composition</w:t>
      </w:r>
      <w:r w:rsidR="00F260A7" w:rsidRPr="0054344B">
        <w:t xml:space="preserve"> of boards of directors</w:t>
      </w:r>
      <w:r w:rsidR="0079376A" w:rsidRPr="0054344B">
        <w:t>.</w:t>
      </w:r>
    </w:p>
    <w:p w14:paraId="0E32AE08" w14:textId="77777777" w:rsidR="00086EAE" w:rsidRPr="0054344B" w:rsidRDefault="00086EAE" w:rsidP="00E25502">
      <w:pPr>
        <w:pStyle w:val="Heading1"/>
        <w:numPr>
          <w:ilvl w:val="0"/>
          <w:numId w:val="0"/>
        </w:numPr>
      </w:pPr>
      <w:r w:rsidRPr="0054344B">
        <w:lastRenderedPageBreak/>
        <w:t>References:</w:t>
      </w:r>
    </w:p>
    <w:p w14:paraId="494B1454" w14:textId="77777777" w:rsidR="00086EAE" w:rsidRPr="00E25502" w:rsidRDefault="00086EAE" w:rsidP="00E25502">
      <w:pPr>
        <w:pStyle w:val="PSlhteet"/>
      </w:pPr>
      <w:proofErr w:type="spellStart"/>
      <w:r w:rsidRPr="00E25502">
        <w:t>Aanu</w:t>
      </w:r>
      <w:proofErr w:type="spellEnd"/>
      <w:r w:rsidRPr="00E25502">
        <w:t xml:space="preserve">, O. S. </w:t>
      </w:r>
      <w:proofErr w:type="spellStart"/>
      <w:r w:rsidRPr="00E25502">
        <w:t>Odianonsen</w:t>
      </w:r>
      <w:proofErr w:type="spellEnd"/>
      <w:r w:rsidRPr="00E25502">
        <w:t xml:space="preserve">, I. F. and </w:t>
      </w:r>
      <w:proofErr w:type="spellStart"/>
      <w:r w:rsidRPr="00E25502">
        <w:t>Foyeke</w:t>
      </w:r>
      <w:proofErr w:type="spellEnd"/>
      <w:r w:rsidRPr="00E25502">
        <w:t xml:space="preserve">, O. I. (2014), Effectiveness of Audit Committee and Firm Financial Performance in Nigeria: An Empirical Analysis, </w:t>
      </w:r>
      <w:r w:rsidRPr="00E25502">
        <w:rPr>
          <w:i/>
        </w:rPr>
        <w:t>Journal of Accounting and Auditing: Research &amp; Practice</w:t>
      </w:r>
      <w:r w:rsidRPr="00E25502">
        <w:t>, Volume 2014, DOI: 10.5171/2014.301176.</w:t>
      </w:r>
    </w:p>
    <w:p w14:paraId="6057AB2D" w14:textId="77777777" w:rsidR="00086EAE" w:rsidRPr="0054344B" w:rsidRDefault="00086EAE" w:rsidP="00E25502">
      <w:pPr>
        <w:pStyle w:val="PSlhteet"/>
      </w:pPr>
      <w:r w:rsidRPr="0054344B">
        <w:t>Abdul Rahman, R. and Mohamed Ali, F.H. (2006), Board, audit committee, culture and earnings management: Malaysian evidence. Managerial Auditing Journal, 21 (7). 783-804.</w:t>
      </w:r>
    </w:p>
    <w:p w14:paraId="1E4EB89D" w14:textId="77777777" w:rsidR="00086EAE" w:rsidRPr="0054344B" w:rsidRDefault="00086EAE" w:rsidP="00E25502">
      <w:pPr>
        <w:pStyle w:val="PSlhteet"/>
      </w:pPr>
      <w:r w:rsidRPr="0054344B">
        <w:t xml:space="preserve">Agrawal, A. and </w:t>
      </w:r>
      <w:proofErr w:type="spellStart"/>
      <w:r w:rsidRPr="0054344B">
        <w:t>Knoeber</w:t>
      </w:r>
      <w:proofErr w:type="spellEnd"/>
      <w:r w:rsidRPr="0054344B">
        <w:t xml:space="preserve">, C. R. (1996), ‘Firm Performance and Mechanisms to Control Agency Problems between Managers and Shareholders’, </w:t>
      </w:r>
      <w:r w:rsidRPr="0054344B">
        <w:rPr>
          <w:iCs/>
        </w:rPr>
        <w:t>Journal of Financial and</w:t>
      </w:r>
      <w:r w:rsidRPr="0054344B">
        <w:t xml:space="preserve"> </w:t>
      </w:r>
      <w:r w:rsidRPr="0054344B">
        <w:rPr>
          <w:iCs/>
        </w:rPr>
        <w:t xml:space="preserve">Quantitative Analysis, </w:t>
      </w:r>
      <w:r w:rsidRPr="0054344B">
        <w:t>Volume 31, page 377-389.</w:t>
      </w:r>
    </w:p>
    <w:p w14:paraId="4D0D1BA7" w14:textId="77777777" w:rsidR="00086EAE" w:rsidRPr="0054344B" w:rsidRDefault="00086EAE" w:rsidP="00E25502">
      <w:pPr>
        <w:pStyle w:val="PSlhteet"/>
      </w:pPr>
      <w:r w:rsidRPr="0054344B">
        <w:t xml:space="preserve">April, K. A., </w:t>
      </w:r>
      <w:proofErr w:type="spellStart"/>
      <w:r w:rsidRPr="0054344B">
        <w:t>Bosma</w:t>
      </w:r>
      <w:proofErr w:type="spellEnd"/>
      <w:r w:rsidRPr="0054344B">
        <w:t xml:space="preserve">, P. and </w:t>
      </w:r>
      <w:proofErr w:type="spellStart"/>
      <w:r w:rsidRPr="0054344B">
        <w:t>Deglon</w:t>
      </w:r>
      <w:proofErr w:type="spellEnd"/>
      <w:r w:rsidRPr="0054344B">
        <w:t>, D. A. (2003), ‘IC Measurement and Reporting: Establishing a Practice in SA Mining’, Journal of Intellectual Capital, Volume 4, No. 2, page 165-180.</w:t>
      </w:r>
    </w:p>
    <w:p w14:paraId="0AEAAD7D" w14:textId="77777777" w:rsidR="00086EAE" w:rsidRPr="0054344B" w:rsidRDefault="00086EAE" w:rsidP="00E25502">
      <w:pPr>
        <w:pStyle w:val="PSlhteet"/>
        <w:rPr>
          <w:rFonts w:eastAsia="Cambria"/>
        </w:rPr>
      </w:pPr>
      <w:proofErr w:type="spellStart"/>
      <w:r w:rsidRPr="0054344B">
        <w:rPr>
          <w:rFonts w:eastAsia="Cambria"/>
        </w:rPr>
        <w:t>Baldenius</w:t>
      </w:r>
      <w:proofErr w:type="spellEnd"/>
      <w:r w:rsidRPr="0054344B">
        <w:rPr>
          <w:rFonts w:eastAsia="Cambria"/>
        </w:rPr>
        <w:t xml:space="preserve">, T. </w:t>
      </w:r>
      <w:proofErr w:type="spellStart"/>
      <w:r w:rsidRPr="0054344B">
        <w:rPr>
          <w:rFonts w:eastAsia="Cambria"/>
        </w:rPr>
        <w:t>Melumad</w:t>
      </w:r>
      <w:proofErr w:type="spellEnd"/>
      <w:r w:rsidRPr="0054344B">
        <w:rPr>
          <w:rFonts w:eastAsia="Cambria"/>
        </w:rPr>
        <w:t>, N. and Meng, X. (2014), Board composition and CEO power, Journal of Financial Economics, 11253–68.</w:t>
      </w:r>
    </w:p>
    <w:p w14:paraId="680E4363" w14:textId="77777777" w:rsidR="00086EAE" w:rsidRPr="0054344B" w:rsidRDefault="00086EAE" w:rsidP="00E25502">
      <w:pPr>
        <w:pStyle w:val="PSlhteet"/>
      </w:pPr>
      <w:r w:rsidRPr="0054344B">
        <w:t xml:space="preserve">Bank of England (BoE) (2014), Prudential regulation on Banks.  </w:t>
      </w:r>
      <w:hyperlink r:id="rId7" w:history="1">
        <w:r w:rsidRPr="0054344B">
          <w:t>http://www.bankofengland.co.uk/PRA/Pages/default.aspx</w:t>
        </w:r>
      </w:hyperlink>
      <w:r w:rsidRPr="0054344B">
        <w:t>, accessed 10/03/14.</w:t>
      </w:r>
    </w:p>
    <w:p w14:paraId="063C28E6" w14:textId="77777777" w:rsidR="00086EAE" w:rsidRPr="0054344B" w:rsidRDefault="00086EAE" w:rsidP="00E25502">
      <w:pPr>
        <w:pStyle w:val="PSlhteet"/>
      </w:pPr>
      <w:r w:rsidRPr="0054344B">
        <w:t>Basel Committee on Banking Supervision, (2010), Principle for Enhancing Corporate Governance, Basel, Switzerland.</w:t>
      </w:r>
    </w:p>
    <w:p w14:paraId="4CF9C3AA" w14:textId="77777777" w:rsidR="00086EAE" w:rsidRPr="0054344B" w:rsidRDefault="00086EAE" w:rsidP="00E25502">
      <w:pPr>
        <w:pStyle w:val="PSlhteet"/>
      </w:pPr>
      <w:proofErr w:type="spellStart"/>
      <w:r w:rsidRPr="0054344B">
        <w:rPr>
          <w:rFonts w:eastAsia="Cambria"/>
          <w:lang w:val="en-US"/>
        </w:rPr>
        <w:t>Beiner</w:t>
      </w:r>
      <w:proofErr w:type="spellEnd"/>
      <w:r w:rsidRPr="0054344B">
        <w:rPr>
          <w:rFonts w:eastAsia="Cambria"/>
          <w:lang w:val="en-US"/>
        </w:rPr>
        <w:t xml:space="preserve">, S., </w:t>
      </w:r>
      <w:proofErr w:type="spellStart"/>
      <w:r w:rsidRPr="0054344B">
        <w:rPr>
          <w:rFonts w:eastAsia="Cambria"/>
          <w:lang w:val="en-US"/>
        </w:rPr>
        <w:t>Drobetz</w:t>
      </w:r>
      <w:proofErr w:type="spellEnd"/>
      <w:r w:rsidRPr="0054344B">
        <w:rPr>
          <w:rFonts w:eastAsia="Cambria"/>
          <w:lang w:val="en-US"/>
        </w:rPr>
        <w:t xml:space="preserve">, W., Markus, M. and Zimmermann, H. (2006), </w:t>
      </w:r>
      <w:r w:rsidRPr="0054344B">
        <w:rPr>
          <w:rFonts w:eastAsia="Cambria"/>
        </w:rPr>
        <w:t xml:space="preserve">‘An Integrated Framework of Corporate Governance and Firm Valuation’, </w:t>
      </w:r>
      <w:r w:rsidRPr="0054344B">
        <w:rPr>
          <w:rFonts w:eastAsia="Cambria"/>
          <w:iCs/>
        </w:rPr>
        <w:t>European Financial Management</w:t>
      </w:r>
      <w:r w:rsidRPr="0054344B">
        <w:rPr>
          <w:rFonts w:eastAsia="Cambria"/>
        </w:rPr>
        <w:t>, Volume 12, No. 2, page 249-283.</w:t>
      </w:r>
    </w:p>
    <w:p w14:paraId="24D42EDF" w14:textId="77777777" w:rsidR="00086EAE" w:rsidRPr="0054344B" w:rsidRDefault="00086EAE" w:rsidP="00E25502">
      <w:pPr>
        <w:pStyle w:val="PSlhteet"/>
      </w:pPr>
      <w:proofErr w:type="spellStart"/>
      <w:r w:rsidRPr="0054344B">
        <w:t>Berle</w:t>
      </w:r>
      <w:proofErr w:type="spellEnd"/>
      <w:r w:rsidRPr="0054344B">
        <w:t xml:space="preserve">, A.A. and Means, G.C. (1932), </w:t>
      </w:r>
      <w:r w:rsidRPr="0054344B">
        <w:rPr>
          <w:iCs/>
        </w:rPr>
        <w:t xml:space="preserve">The Modern Corporation and Private Property. </w:t>
      </w:r>
      <w:r w:rsidRPr="0054344B">
        <w:t>New York: Macmillan.</w:t>
      </w:r>
    </w:p>
    <w:p w14:paraId="7B16D9E1" w14:textId="77777777" w:rsidR="00086EAE" w:rsidRPr="0054344B" w:rsidRDefault="00086EAE" w:rsidP="00E25502">
      <w:pPr>
        <w:pStyle w:val="PSlhteet"/>
        <w:rPr>
          <w:color w:val="000000"/>
        </w:rPr>
      </w:pPr>
      <w:r w:rsidRPr="0054344B">
        <w:t xml:space="preserve">Black, B. S., Jang, H. and Kim, W. (2006), ‘Does Corporate Governance Predict Firm’s Market Values? Evidence from Korea, </w:t>
      </w:r>
      <w:r w:rsidRPr="0054344B">
        <w:rPr>
          <w:iCs/>
        </w:rPr>
        <w:t xml:space="preserve">Journal of Law, Economics and Organization, </w:t>
      </w:r>
      <w:r w:rsidRPr="0054344B">
        <w:t>Volume 22, No. 2, page 366-413.</w:t>
      </w:r>
    </w:p>
    <w:p w14:paraId="36B187C5" w14:textId="77777777" w:rsidR="00086EAE" w:rsidRPr="0054344B" w:rsidRDefault="00086EAE" w:rsidP="00E25502">
      <w:pPr>
        <w:pStyle w:val="PSlhteet"/>
      </w:pPr>
      <w:proofErr w:type="spellStart"/>
      <w:r w:rsidRPr="0054344B">
        <w:t>Botosan</w:t>
      </w:r>
      <w:proofErr w:type="spellEnd"/>
      <w:r w:rsidRPr="0054344B">
        <w:t>, C. A. (1997), ‘Disclosure Level and the Cost of Equity Capital’, Accounting Review, Volume 72, No. 3, page 323-350.</w:t>
      </w:r>
    </w:p>
    <w:p w14:paraId="53B2744C" w14:textId="77777777" w:rsidR="00086EAE" w:rsidRPr="0054344B" w:rsidRDefault="00086EAE" w:rsidP="00E25502">
      <w:pPr>
        <w:pStyle w:val="PSlhteet"/>
      </w:pPr>
      <w:r w:rsidRPr="0054344B">
        <w:t>Bozec, R. (2005), Boards of Directors, Market Discipline and Firm Performance. Journal of Business Finance &amp; Accounting, 32(9) and (10), November/December 2005, 0306-686X.</w:t>
      </w:r>
    </w:p>
    <w:p w14:paraId="00245863" w14:textId="77777777" w:rsidR="00086EAE" w:rsidRPr="0054344B" w:rsidRDefault="00086EAE" w:rsidP="00E25502">
      <w:pPr>
        <w:pStyle w:val="PSlhteet"/>
      </w:pPr>
      <w:r w:rsidRPr="0054344B">
        <w:rPr>
          <w:rFonts w:eastAsia="Cambria"/>
        </w:rPr>
        <w:t xml:space="preserve">Bradbury, M.E., Y.T. </w:t>
      </w:r>
      <w:proofErr w:type="spellStart"/>
      <w:r w:rsidRPr="0054344B">
        <w:rPr>
          <w:rFonts w:eastAsia="Cambria"/>
        </w:rPr>
        <w:t>Mak</w:t>
      </w:r>
      <w:proofErr w:type="spellEnd"/>
      <w:r w:rsidRPr="0054344B">
        <w:rPr>
          <w:rFonts w:eastAsia="Cambria"/>
        </w:rPr>
        <w:t>, S.M. Tan (2006), Board characteristics, audit committee characteristics and abnormal accruals, Pacific Accounting Review, 18, page 47-68.</w:t>
      </w:r>
    </w:p>
    <w:p w14:paraId="0D5F7A1A" w14:textId="77777777" w:rsidR="00086EAE" w:rsidRPr="0054344B" w:rsidRDefault="00086EAE" w:rsidP="00E25502">
      <w:pPr>
        <w:pStyle w:val="PSlhteet"/>
      </w:pPr>
      <w:proofErr w:type="spellStart"/>
      <w:r w:rsidRPr="0054344B">
        <w:lastRenderedPageBreak/>
        <w:t>Bruynseels</w:t>
      </w:r>
      <w:proofErr w:type="spellEnd"/>
      <w:r w:rsidRPr="0054344B">
        <w:t xml:space="preserve"> L. and </w:t>
      </w:r>
      <w:proofErr w:type="spellStart"/>
      <w:r w:rsidRPr="0054344B">
        <w:t>Cardinaels</w:t>
      </w:r>
      <w:proofErr w:type="spellEnd"/>
      <w:r w:rsidRPr="0054344B">
        <w:t>, E. (2014), The Audit Committee: Management Watchdog or Personal Friend of the CEO? The Accounting Review, American Accounting Association, Volume 89, No.1 2014, page 113-145 DOI: 10.2308/accr-50601.</w:t>
      </w:r>
    </w:p>
    <w:p w14:paraId="22DBEA66" w14:textId="77777777" w:rsidR="00086EAE" w:rsidRPr="0054344B" w:rsidRDefault="00086EAE" w:rsidP="00E25502">
      <w:pPr>
        <w:pStyle w:val="PSlhteet"/>
      </w:pPr>
      <w:r w:rsidRPr="0054344B">
        <w:rPr>
          <w:rFonts w:eastAsia="Cambria"/>
        </w:rPr>
        <w:t>Cadbury Committee Report (1992), The Report of the Committee on the Financial Aspects of Corporate Governance, Gee Publishing, London.</w:t>
      </w:r>
    </w:p>
    <w:p w14:paraId="69BC20AD" w14:textId="77777777" w:rsidR="00086EAE" w:rsidRPr="0054344B" w:rsidRDefault="00086EAE" w:rsidP="00E25502">
      <w:pPr>
        <w:pStyle w:val="PSlhteet"/>
        <w:rPr>
          <w:rFonts w:eastAsia="Cambria"/>
        </w:rPr>
      </w:pPr>
      <w:proofErr w:type="spellStart"/>
      <w:r w:rsidRPr="0054344B">
        <w:rPr>
          <w:rFonts w:eastAsia="Cambria"/>
        </w:rPr>
        <w:t>Carcello</w:t>
      </w:r>
      <w:proofErr w:type="spellEnd"/>
      <w:r w:rsidRPr="0054344B">
        <w:rPr>
          <w:rFonts w:eastAsia="Cambria"/>
        </w:rPr>
        <w:t>, J. V., and T. L. Neal, (2003a), Audit committee characteristics and auditor dismissals following ‘‘New’’ Going-concern reports, The Accounting Review 78, 95–117.</w:t>
      </w:r>
    </w:p>
    <w:p w14:paraId="713E8627" w14:textId="77777777" w:rsidR="00086EAE" w:rsidRPr="0054344B" w:rsidRDefault="00086EAE" w:rsidP="00E25502">
      <w:pPr>
        <w:pStyle w:val="PSlhteet"/>
      </w:pPr>
      <w:proofErr w:type="spellStart"/>
      <w:r w:rsidRPr="0054344B">
        <w:rPr>
          <w:rFonts w:eastAsia="Cambria"/>
        </w:rPr>
        <w:t>Carcello</w:t>
      </w:r>
      <w:proofErr w:type="spellEnd"/>
      <w:r w:rsidRPr="0054344B">
        <w:rPr>
          <w:rFonts w:eastAsia="Cambria"/>
        </w:rPr>
        <w:t>, J. V., and T. L. Neal, (2003b), Audit committee independence and disclosure: choice for financially distressed firms, Corporate Governance: An International Review 11, 289–299.</w:t>
      </w:r>
    </w:p>
    <w:p w14:paraId="06AD894C" w14:textId="77777777" w:rsidR="00086EAE" w:rsidRPr="0054344B" w:rsidRDefault="00086EAE" w:rsidP="00E25502">
      <w:pPr>
        <w:pStyle w:val="PSlhteet"/>
      </w:pPr>
      <w:proofErr w:type="spellStart"/>
      <w:r w:rsidRPr="0054344B">
        <w:t>Carcello</w:t>
      </w:r>
      <w:proofErr w:type="spellEnd"/>
      <w:r w:rsidRPr="0054344B">
        <w:t>, J. V., Hermanson, D. R., Neal, T. L. and Riley, R. A. (2002), ‘Board Characteristics and Audit Fees’, Contemporary Accounting Research, Volume 19, No. 2, page 365-384.</w:t>
      </w:r>
    </w:p>
    <w:p w14:paraId="4A78D74A" w14:textId="4F5047E2" w:rsidR="00086EAE" w:rsidRPr="0054344B" w:rsidRDefault="00086EAE" w:rsidP="00E25502">
      <w:pPr>
        <w:pStyle w:val="PSlhteet"/>
        <w:rPr>
          <w:color w:val="212121"/>
          <w:shd w:val="clear" w:color="auto" w:fill="FFFFFF"/>
        </w:rPr>
      </w:pPr>
      <w:r w:rsidRPr="0054344B">
        <w:rPr>
          <w:color w:val="212121"/>
          <w:shd w:val="clear" w:color="auto" w:fill="FFFFFF"/>
        </w:rPr>
        <w:t>Chan, K. C., and J. Li, (2008)</w:t>
      </w:r>
      <w:proofErr w:type="gramStart"/>
      <w:r w:rsidRPr="0054344B">
        <w:rPr>
          <w:color w:val="212121"/>
          <w:shd w:val="clear" w:color="auto" w:fill="FFFFFF"/>
        </w:rPr>
        <w:t>, )</w:t>
      </w:r>
      <w:proofErr w:type="gramEnd"/>
      <w:r w:rsidRPr="0054344B">
        <w:rPr>
          <w:color w:val="212121"/>
          <w:shd w:val="clear" w:color="auto" w:fill="FFFFFF"/>
        </w:rPr>
        <w:t>,</w:t>
      </w:r>
      <w:r w:rsidR="00E25502">
        <w:rPr>
          <w:color w:val="212121"/>
          <w:shd w:val="clear" w:color="auto" w:fill="FFFFFF"/>
        </w:rPr>
        <w:t xml:space="preserve"> </w:t>
      </w:r>
      <w:r w:rsidRPr="0054344B">
        <w:rPr>
          <w:color w:val="212121"/>
          <w:shd w:val="clear" w:color="auto" w:fill="FFFFFF"/>
        </w:rPr>
        <w:t>“Audit committee and firm value: evidence on outside top executives as expert-independent directors’’ Corporate Governance: An International Review 16, 16–31.</w:t>
      </w:r>
    </w:p>
    <w:p w14:paraId="18E811F2" w14:textId="77777777" w:rsidR="00086EAE" w:rsidRPr="0054344B" w:rsidRDefault="00086EAE" w:rsidP="00E25502">
      <w:pPr>
        <w:pStyle w:val="PSlhteet"/>
        <w:rPr>
          <w:rFonts w:eastAsia="Cambria"/>
          <w:bCs/>
          <w:lang w:val="en-US"/>
        </w:rPr>
      </w:pPr>
      <w:proofErr w:type="spellStart"/>
      <w:r w:rsidRPr="0054344B">
        <w:rPr>
          <w:rFonts w:eastAsia="Cambria"/>
        </w:rPr>
        <w:t>Charkham</w:t>
      </w:r>
      <w:proofErr w:type="spellEnd"/>
      <w:r w:rsidRPr="0054344B">
        <w:rPr>
          <w:rFonts w:eastAsia="Cambria"/>
        </w:rPr>
        <w:t>, J. (2005), Keeping better company: corporate governance ten years on. Oxford: Oxford University Press.</w:t>
      </w:r>
    </w:p>
    <w:p w14:paraId="1A051F26" w14:textId="77777777" w:rsidR="00086EAE" w:rsidRPr="0054344B" w:rsidRDefault="00086EAE" w:rsidP="00E25502">
      <w:pPr>
        <w:pStyle w:val="PSlhteet"/>
      </w:pPr>
      <w:r w:rsidRPr="0054344B">
        <w:t>Cheng, S., Evans, J. H. and Nagarajan, N. J. (2008), ‘Board Size and Firm Performance: Moderating Effects of the Market for Corporate Control’, Review of Quantitative Financial Accounting, Volume 31, page 121-145.</w:t>
      </w:r>
    </w:p>
    <w:p w14:paraId="5188AB0D" w14:textId="77777777" w:rsidR="00086EAE" w:rsidRPr="0054344B" w:rsidRDefault="00086EAE" w:rsidP="00E25502">
      <w:pPr>
        <w:pStyle w:val="PSlhteet"/>
      </w:pPr>
      <w:proofErr w:type="spellStart"/>
      <w:r w:rsidRPr="0054344B">
        <w:t>Chenhall</w:t>
      </w:r>
      <w:proofErr w:type="spellEnd"/>
      <w:r w:rsidRPr="0054344B">
        <w:t>, R. and Moers, F. (2007b), ‘Endogeneity: A Reply to Two Different Perspectives’, European Accounting Review, Volume 16, No. 1, page 217-221.</w:t>
      </w:r>
    </w:p>
    <w:p w14:paraId="0316FF0C" w14:textId="77777777" w:rsidR="00086EAE" w:rsidRPr="0054344B" w:rsidRDefault="00086EAE" w:rsidP="00E25502">
      <w:pPr>
        <w:pStyle w:val="PSlhteet"/>
      </w:pPr>
      <w:proofErr w:type="spellStart"/>
      <w:r w:rsidRPr="0054344B">
        <w:t>Chenhall</w:t>
      </w:r>
      <w:proofErr w:type="spellEnd"/>
      <w:r w:rsidRPr="0054344B">
        <w:t>, R. H. and Moers, F. (2007a), ‘The Issue of Endogeneity within Theory-Based, Quantitative Management Accounting Research’, European Accounting Review, Volume 16, No. 1, page 173-195.</w:t>
      </w:r>
    </w:p>
    <w:p w14:paraId="2443235D" w14:textId="77777777" w:rsidR="00086EAE" w:rsidRPr="0054344B" w:rsidRDefault="00086EAE" w:rsidP="00E25502">
      <w:pPr>
        <w:pStyle w:val="PSlhteet"/>
      </w:pPr>
      <w:r w:rsidRPr="0054344B">
        <w:t xml:space="preserve">Cheung, W. K. A. and Wei, K. C. J. (2006), Insider Ownership and Corporate </w:t>
      </w:r>
      <w:proofErr w:type="spellStart"/>
      <w:r w:rsidRPr="0054344B">
        <w:t>Performanc</w:t>
      </w:r>
      <w:proofErr w:type="spellEnd"/>
      <w:r w:rsidRPr="0054344B">
        <w:t>: Evidence from the Adjustment Cost Approach’, Journal of Corporate Finance, Volume 12, page 906-925.</w:t>
      </w:r>
    </w:p>
    <w:p w14:paraId="3EB05C83" w14:textId="77777777" w:rsidR="00086EAE" w:rsidRPr="0054344B" w:rsidRDefault="00086EAE" w:rsidP="00E25502">
      <w:pPr>
        <w:pStyle w:val="PSlhteet"/>
      </w:pPr>
      <w:r w:rsidRPr="0054344B">
        <w:rPr>
          <w:rFonts w:eastAsia="Cambria"/>
        </w:rPr>
        <w:t xml:space="preserve">Choi, J. H. Jeon, K. and </w:t>
      </w:r>
      <w:proofErr w:type="spellStart"/>
      <w:r w:rsidRPr="0054344B">
        <w:rPr>
          <w:rFonts w:eastAsia="Cambria"/>
        </w:rPr>
        <w:t>Prk</w:t>
      </w:r>
      <w:proofErr w:type="spellEnd"/>
      <w:r w:rsidRPr="0054344B">
        <w:rPr>
          <w:rFonts w:eastAsia="Cambria"/>
        </w:rPr>
        <w:t>, J. (2004), The Role of Audit Committee in Decreasing Earning Management: Korean Evidence.” International Journal of Accounting, Auditing and Performance Evaluation, Volume 1, No. (1), (2004), 37-60.</w:t>
      </w:r>
    </w:p>
    <w:p w14:paraId="0ED9E123" w14:textId="62B66539" w:rsidR="00086EAE" w:rsidRPr="0054344B" w:rsidRDefault="00086EAE" w:rsidP="00E25502">
      <w:pPr>
        <w:pStyle w:val="PSlhteet"/>
        <w:rPr>
          <w:shd w:val="clear" w:color="auto" w:fill="FFFFFF"/>
        </w:rPr>
      </w:pPr>
      <w:r w:rsidRPr="0054344B">
        <w:rPr>
          <w:shd w:val="clear" w:color="auto" w:fill="FFFFFF"/>
        </w:rPr>
        <w:t>Chong, G. (2015),</w:t>
      </w:r>
      <w:r w:rsidR="00E25502">
        <w:rPr>
          <w:shd w:val="clear" w:color="auto" w:fill="FFFFFF"/>
        </w:rPr>
        <w:t xml:space="preserve"> </w:t>
      </w:r>
      <w:r w:rsidRPr="0054344B">
        <w:rPr>
          <w:shd w:val="clear" w:color="auto" w:fill="FFFFFF"/>
        </w:rPr>
        <w:t xml:space="preserve">“International insurance audits and governance’’, </w:t>
      </w:r>
      <w:r w:rsidRPr="0054344B">
        <w:rPr>
          <w:i/>
          <w:shd w:val="clear" w:color="auto" w:fill="FFFFFF"/>
        </w:rPr>
        <w:t>International Journal of Accounting &amp; Information Management</w:t>
      </w:r>
      <w:r w:rsidRPr="0054344B">
        <w:rPr>
          <w:shd w:val="clear" w:color="auto" w:fill="FFFFFF"/>
        </w:rPr>
        <w:t>, Vol. 23 Issue: 2, pp.152-168.</w:t>
      </w:r>
    </w:p>
    <w:p w14:paraId="579EC37F" w14:textId="77777777" w:rsidR="00086EAE" w:rsidRPr="0054344B" w:rsidRDefault="00086EAE" w:rsidP="00E25502">
      <w:pPr>
        <w:pStyle w:val="PSlhteet"/>
      </w:pPr>
      <w:r w:rsidRPr="0054344B">
        <w:lastRenderedPageBreak/>
        <w:t xml:space="preserve">Chung, K. H. and Pruitt, S. W. (1994), ‘A Simple Approximation of Tobin’s Q’, </w:t>
      </w:r>
      <w:r w:rsidRPr="0054344B">
        <w:rPr>
          <w:i/>
        </w:rPr>
        <w:t>Financial Management</w:t>
      </w:r>
      <w:r w:rsidRPr="0054344B">
        <w:t>, Volume 23, No. 3, page70-74.</w:t>
      </w:r>
    </w:p>
    <w:p w14:paraId="00BEB96E" w14:textId="77777777" w:rsidR="00086EAE" w:rsidRPr="0054344B" w:rsidRDefault="00086EAE" w:rsidP="00E25502">
      <w:pPr>
        <w:pStyle w:val="PSlhteet"/>
      </w:pPr>
      <w:r w:rsidRPr="0054344B">
        <w:rPr>
          <w:rFonts w:eastAsia="Cambria"/>
        </w:rPr>
        <w:t>Collier, P. (1993), “Factors affecting the formation of audit committees in major UK listed companies</w:t>
      </w:r>
      <w:r w:rsidRPr="0054344B">
        <w:rPr>
          <w:rFonts w:eastAsia="Cambria"/>
          <w:i/>
        </w:rPr>
        <w:t>”, Accounting and Business Research</w:t>
      </w:r>
      <w:r w:rsidRPr="0054344B">
        <w:rPr>
          <w:rFonts w:eastAsia="Cambria"/>
        </w:rPr>
        <w:t>, Volume 23, No. 91A, page 421-430.</w:t>
      </w:r>
    </w:p>
    <w:p w14:paraId="2FDC5FB8" w14:textId="77777777" w:rsidR="00086EAE" w:rsidRPr="0054344B" w:rsidRDefault="00086EAE" w:rsidP="00E25502">
      <w:pPr>
        <w:pStyle w:val="PSlhteet"/>
      </w:pPr>
      <w:r w:rsidRPr="0054344B">
        <w:t>Combined Code (2003), Combined Code on Corporate Governance, Financial Reporting Council, London.</w:t>
      </w:r>
    </w:p>
    <w:p w14:paraId="3450D682" w14:textId="77777777" w:rsidR="00086EAE" w:rsidRPr="0054344B" w:rsidRDefault="00086EAE" w:rsidP="00E25502">
      <w:pPr>
        <w:pStyle w:val="PSlhteet"/>
      </w:pPr>
      <w:r w:rsidRPr="0054344B">
        <w:rPr>
          <w:rFonts w:eastAsia="Cambria"/>
        </w:rPr>
        <w:t>Combined Code (2006), Combined Code on Corporate Governance, Financial Reporting Council, London.</w:t>
      </w:r>
    </w:p>
    <w:p w14:paraId="1C421534" w14:textId="77777777" w:rsidR="00086EAE" w:rsidRPr="0054344B" w:rsidRDefault="00086EAE" w:rsidP="00E25502">
      <w:pPr>
        <w:pStyle w:val="PSlhteet"/>
      </w:pPr>
      <w:proofErr w:type="spellStart"/>
      <w:r w:rsidRPr="0054344B">
        <w:rPr>
          <w:rFonts w:eastAsia="Cambria"/>
        </w:rPr>
        <w:t>Conyon</w:t>
      </w:r>
      <w:proofErr w:type="spellEnd"/>
      <w:r w:rsidRPr="0054344B">
        <w:rPr>
          <w:rFonts w:eastAsia="Cambria"/>
        </w:rPr>
        <w:t xml:space="preserve">, M. J. (1994), ‘Corporate Governance Changes in UK Companies Between 1988 and 1993’, </w:t>
      </w:r>
      <w:r w:rsidRPr="0054344B">
        <w:rPr>
          <w:rFonts w:eastAsia="Cambria"/>
          <w:i/>
          <w:iCs/>
        </w:rPr>
        <w:t>Corporate Governance</w:t>
      </w:r>
      <w:r w:rsidRPr="0054344B">
        <w:rPr>
          <w:rFonts w:eastAsia="Cambria"/>
        </w:rPr>
        <w:t>, Volume 2, No. 2, page 87-99.</w:t>
      </w:r>
    </w:p>
    <w:p w14:paraId="2E34312A" w14:textId="77777777" w:rsidR="00086EAE" w:rsidRPr="0054344B" w:rsidRDefault="00086EAE" w:rsidP="00E25502">
      <w:pPr>
        <w:pStyle w:val="PSlhteet"/>
        <w:rPr>
          <w:rFonts w:eastAsia="Cambria"/>
        </w:rPr>
      </w:pPr>
      <w:proofErr w:type="spellStart"/>
      <w:r w:rsidRPr="0054344B">
        <w:rPr>
          <w:rFonts w:eastAsia="Cambria"/>
        </w:rPr>
        <w:t>Danso</w:t>
      </w:r>
      <w:proofErr w:type="spellEnd"/>
      <w:r w:rsidRPr="0054344B">
        <w:rPr>
          <w:rFonts w:eastAsia="Cambria"/>
        </w:rPr>
        <w:t xml:space="preserve">, A; and S; Adomako (2014), The financial </w:t>
      </w:r>
      <w:proofErr w:type="spellStart"/>
      <w:r w:rsidRPr="0054344B">
        <w:rPr>
          <w:rFonts w:eastAsia="Cambria"/>
        </w:rPr>
        <w:t>behavior</w:t>
      </w:r>
      <w:proofErr w:type="spellEnd"/>
      <w:r w:rsidRPr="0054344B">
        <w:rPr>
          <w:rFonts w:eastAsia="Cambria"/>
        </w:rPr>
        <w:t xml:space="preserve"> of firms and financial crisis, </w:t>
      </w:r>
      <w:r w:rsidRPr="0054344B">
        <w:rPr>
          <w:rFonts w:eastAsia="Cambria"/>
          <w:i/>
        </w:rPr>
        <w:t>Managerial Finance</w:t>
      </w:r>
      <w:r w:rsidRPr="0054344B">
        <w:rPr>
          <w:rFonts w:eastAsia="Cambria"/>
        </w:rPr>
        <w:t>, Volume 40, No.12, 2014; Emerald Group Publishing Limited.</w:t>
      </w:r>
    </w:p>
    <w:p w14:paraId="234EDC1C" w14:textId="77777777" w:rsidR="00086EAE" w:rsidRPr="0054344B" w:rsidRDefault="00086EAE" w:rsidP="00E25502">
      <w:pPr>
        <w:pStyle w:val="PSlhteet"/>
      </w:pPr>
      <w:proofErr w:type="spellStart"/>
      <w:r w:rsidRPr="0054344B">
        <w:rPr>
          <w:rFonts w:eastAsia="Cambria"/>
        </w:rPr>
        <w:t>Defond</w:t>
      </w:r>
      <w:proofErr w:type="spellEnd"/>
      <w:r w:rsidRPr="0054344B">
        <w:rPr>
          <w:rFonts w:eastAsia="Cambria"/>
        </w:rPr>
        <w:t xml:space="preserve">, M. L., R. N. Hann, and H. U. </w:t>
      </w:r>
      <w:proofErr w:type="spellStart"/>
      <w:r w:rsidRPr="0054344B">
        <w:rPr>
          <w:rFonts w:eastAsia="Cambria"/>
        </w:rPr>
        <w:t>Xuesong</w:t>
      </w:r>
      <w:proofErr w:type="spellEnd"/>
      <w:r w:rsidRPr="0054344B">
        <w:rPr>
          <w:rFonts w:eastAsia="Cambria"/>
        </w:rPr>
        <w:t xml:space="preserve">. (2005), Does the market value financial expertise on audit committees of boards of directors? </w:t>
      </w:r>
      <w:r w:rsidRPr="0054344B">
        <w:rPr>
          <w:rFonts w:eastAsia="Cambria"/>
          <w:i/>
        </w:rPr>
        <w:t>Journal of Accounting Research</w:t>
      </w:r>
      <w:r w:rsidRPr="0054344B">
        <w:rPr>
          <w:rFonts w:eastAsia="Cambria"/>
        </w:rPr>
        <w:t xml:space="preserve"> 43 (2):153-193.</w:t>
      </w:r>
    </w:p>
    <w:p w14:paraId="235ED0B7" w14:textId="77777777" w:rsidR="00086EAE" w:rsidRPr="0054344B" w:rsidRDefault="00086EAE" w:rsidP="00E25502">
      <w:pPr>
        <w:pStyle w:val="PSlhteet"/>
      </w:pPr>
      <w:proofErr w:type="spellStart"/>
      <w:r w:rsidRPr="0054344B">
        <w:t>Durnev</w:t>
      </w:r>
      <w:proofErr w:type="spellEnd"/>
      <w:r w:rsidRPr="0054344B">
        <w:t>, A. and Kim, E. H. (2005), ‘To Steal or Not to Steal: Firm Attributes, Legal</w:t>
      </w:r>
      <w:r w:rsidRPr="0054344B">
        <w:rPr>
          <w:rFonts w:eastAsia="Cambria"/>
        </w:rPr>
        <w:t xml:space="preserve"> </w:t>
      </w:r>
      <w:r w:rsidRPr="0054344B">
        <w:t xml:space="preserve">Environment, and Valuation’, </w:t>
      </w:r>
      <w:r w:rsidRPr="0054344B">
        <w:rPr>
          <w:i/>
        </w:rPr>
        <w:t>Journal of Finance</w:t>
      </w:r>
      <w:r w:rsidRPr="0054344B">
        <w:t>, Volume LX, No. 3, page 1461-1493.</w:t>
      </w:r>
    </w:p>
    <w:p w14:paraId="0779B099" w14:textId="77777777" w:rsidR="00086EAE" w:rsidRPr="0054344B" w:rsidRDefault="00086EAE" w:rsidP="00E25502">
      <w:pPr>
        <w:pStyle w:val="PSlhteet"/>
      </w:pPr>
      <w:r w:rsidRPr="0054344B">
        <w:t xml:space="preserve">Eisenhardt, M.K (1989), Agency Theory: An Assessment and Review, </w:t>
      </w:r>
      <w:r w:rsidRPr="0054344B">
        <w:rPr>
          <w:i/>
        </w:rPr>
        <w:t>The Academy</w:t>
      </w:r>
      <w:r w:rsidRPr="0054344B">
        <w:t xml:space="preserve"> </w:t>
      </w:r>
      <w:r w:rsidRPr="0054344B">
        <w:rPr>
          <w:i/>
        </w:rPr>
        <w:t>of Management Review</w:t>
      </w:r>
      <w:r w:rsidRPr="0054344B">
        <w:t>, Volume14, No. 1, page 57-74.</w:t>
      </w:r>
    </w:p>
    <w:p w14:paraId="62788A93" w14:textId="77777777" w:rsidR="00086EAE" w:rsidRPr="0054344B" w:rsidRDefault="00086EAE" w:rsidP="00E25502">
      <w:pPr>
        <w:pStyle w:val="PSlhteet"/>
      </w:pPr>
      <w:proofErr w:type="spellStart"/>
      <w:r w:rsidRPr="0054344B">
        <w:t>Fama</w:t>
      </w:r>
      <w:proofErr w:type="spellEnd"/>
      <w:r w:rsidRPr="0054344B">
        <w:t xml:space="preserve"> E. F. and Jensen, M. C. (1983), ‘Separation of Ownership and Control’, </w:t>
      </w:r>
      <w:r w:rsidRPr="0054344B">
        <w:rPr>
          <w:i/>
        </w:rPr>
        <w:t>Journal of Law</w:t>
      </w:r>
      <w:r w:rsidRPr="0054344B">
        <w:rPr>
          <w:rFonts w:eastAsia="Cambria"/>
          <w:i/>
        </w:rPr>
        <w:t xml:space="preserve"> </w:t>
      </w:r>
      <w:r w:rsidRPr="0054344B">
        <w:rPr>
          <w:i/>
        </w:rPr>
        <w:t>and Economics</w:t>
      </w:r>
      <w:r w:rsidRPr="0054344B">
        <w:t>, Volume 26, No. 2, page 301-325.</w:t>
      </w:r>
    </w:p>
    <w:p w14:paraId="4569194F" w14:textId="77777777" w:rsidR="00086EAE" w:rsidRPr="00E25502" w:rsidRDefault="00086EAE" w:rsidP="00E25502">
      <w:pPr>
        <w:pStyle w:val="PSlhteet"/>
      </w:pPr>
      <w:proofErr w:type="spellStart"/>
      <w:r w:rsidRPr="0054344B">
        <w:t>Fama</w:t>
      </w:r>
      <w:proofErr w:type="spellEnd"/>
      <w:r w:rsidRPr="0054344B">
        <w:t xml:space="preserve">, E. F. (1980), Agency problems and the theory of the firm’, </w:t>
      </w:r>
      <w:r w:rsidRPr="0054344B">
        <w:rPr>
          <w:i/>
        </w:rPr>
        <w:t>Journal of Political Economy</w:t>
      </w:r>
      <w:r w:rsidRPr="0054344B">
        <w:t>, 88, 288–307.</w:t>
      </w:r>
    </w:p>
    <w:p w14:paraId="6BFCBD12" w14:textId="77777777" w:rsidR="00086EAE" w:rsidRPr="00E25502" w:rsidRDefault="00086EAE" w:rsidP="00E25502">
      <w:pPr>
        <w:pStyle w:val="PSlhteet"/>
      </w:pPr>
      <w:proofErr w:type="spellStart"/>
      <w:r w:rsidRPr="00E25502">
        <w:rPr>
          <w:rFonts w:eastAsia="Cambria"/>
        </w:rPr>
        <w:t>Felo</w:t>
      </w:r>
      <w:proofErr w:type="spellEnd"/>
      <w:r w:rsidRPr="00E25502">
        <w:rPr>
          <w:rFonts w:eastAsia="Cambria"/>
        </w:rPr>
        <w:t xml:space="preserve">, A. J., Krishnamurthy, S. and </w:t>
      </w:r>
      <w:proofErr w:type="spellStart"/>
      <w:r w:rsidRPr="00E25502">
        <w:rPr>
          <w:rFonts w:eastAsia="Cambria"/>
        </w:rPr>
        <w:t>Solieri</w:t>
      </w:r>
      <w:proofErr w:type="spellEnd"/>
      <w:r w:rsidRPr="00E25502">
        <w:rPr>
          <w:rFonts w:eastAsia="Cambria"/>
        </w:rPr>
        <w:t xml:space="preserve">, S. A. (2003), Audit committee characteristics and the perceived quality of financial reporting: An empirical analysis, </w:t>
      </w:r>
      <w:r w:rsidRPr="00E25502">
        <w:rPr>
          <w:rFonts w:eastAsia="Cambria"/>
          <w:i/>
        </w:rPr>
        <w:t>Working paper</w:t>
      </w:r>
      <w:r w:rsidRPr="00E25502">
        <w:rPr>
          <w:rFonts w:eastAsia="Cambria"/>
        </w:rPr>
        <w:t xml:space="preserve">, </w:t>
      </w:r>
      <w:proofErr w:type="spellStart"/>
      <w:r w:rsidRPr="00E25502">
        <w:rPr>
          <w:rFonts w:eastAsia="Cambria"/>
        </w:rPr>
        <w:t>Pennstate</w:t>
      </w:r>
      <w:proofErr w:type="spellEnd"/>
      <w:r w:rsidRPr="00E25502">
        <w:rPr>
          <w:rFonts w:eastAsia="Cambria"/>
        </w:rPr>
        <w:t xml:space="preserve"> Great Valley.</w:t>
      </w:r>
    </w:p>
    <w:p w14:paraId="59EE3F6B" w14:textId="77777777" w:rsidR="00086EAE" w:rsidRPr="00E25502" w:rsidRDefault="00086EAE" w:rsidP="00E25502">
      <w:pPr>
        <w:pStyle w:val="PSlhteet"/>
      </w:pPr>
      <w:r w:rsidRPr="00E25502">
        <w:t xml:space="preserve">Fich, E. M. and Shivdasani, A. (2006), ‘Are Busy Boards Effective Monitors?’, </w:t>
      </w:r>
      <w:r w:rsidRPr="00E25502">
        <w:rPr>
          <w:i/>
          <w:iCs/>
        </w:rPr>
        <w:t>Journal of Finance</w:t>
      </w:r>
      <w:r w:rsidRPr="00E25502">
        <w:t>, Volume LXI, No. 2, page 689-724.</w:t>
      </w:r>
    </w:p>
    <w:p w14:paraId="2403CAA8" w14:textId="2263763F" w:rsidR="00086EAE" w:rsidRPr="00E25502" w:rsidRDefault="00086EAE" w:rsidP="00E25502">
      <w:pPr>
        <w:pStyle w:val="PSlhteet"/>
        <w:rPr>
          <w:rFonts w:eastAsia="Cambria"/>
        </w:rPr>
      </w:pPr>
      <w:r w:rsidRPr="00E25502">
        <w:rPr>
          <w:rFonts w:eastAsia="Cambria"/>
        </w:rPr>
        <w:t>Financial Reporting Council (2014),</w:t>
      </w:r>
      <w:r w:rsidR="00E25502" w:rsidRPr="00E25502">
        <w:rPr>
          <w:rFonts w:eastAsia="Cambria"/>
        </w:rPr>
        <w:t xml:space="preserve"> </w:t>
      </w:r>
      <w:hyperlink r:id="rId8" w:history="1">
        <w:r w:rsidR="00E25502" w:rsidRPr="00E25502">
          <w:rPr>
            <w:rStyle w:val="Hyperlink"/>
            <w:rFonts w:eastAsia="Cambria"/>
            <w:color w:val="auto"/>
            <w:u w:val="none"/>
          </w:rPr>
          <w:t>https://www.frc.org.uk/Our-Work/Publications/Corporate-Governance/Guidance-on-Audit-Committees-September-2014.aspx</w:t>
        </w:r>
      </w:hyperlink>
      <w:r w:rsidRPr="00E25502">
        <w:rPr>
          <w:rFonts w:eastAsia="Cambria"/>
        </w:rPr>
        <w:t>.</w:t>
      </w:r>
    </w:p>
    <w:p w14:paraId="40826041" w14:textId="77777777" w:rsidR="00086EAE" w:rsidRPr="00E25502" w:rsidRDefault="00086EAE" w:rsidP="00E25502">
      <w:pPr>
        <w:pStyle w:val="PSlhteet"/>
      </w:pPr>
      <w:r w:rsidRPr="00E25502">
        <w:rPr>
          <w:rFonts w:eastAsia="Cambria"/>
        </w:rPr>
        <w:t xml:space="preserve">Financial Reporting Council (2016), </w:t>
      </w:r>
      <w:hyperlink r:id="rId9" w:history="1">
        <w:r w:rsidRPr="00E25502">
          <w:rPr>
            <w:rStyle w:val="Hyperlink"/>
            <w:rFonts w:eastAsia="Cambria"/>
            <w:color w:val="auto"/>
            <w:u w:val="none"/>
          </w:rPr>
          <w:t>https://www.frc.org.uk/Our-Work/Publications/Corporate-Governance/Guidance-on-Audit-Committees-September-2016.aspx</w:t>
        </w:r>
      </w:hyperlink>
      <w:r w:rsidRPr="00E25502">
        <w:rPr>
          <w:rFonts w:eastAsia="Cambria"/>
        </w:rPr>
        <w:t>.</w:t>
      </w:r>
    </w:p>
    <w:p w14:paraId="64B3738E" w14:textId="77777777" w:rsidR="00086EAE" w:rsidRPr="00E25502" w:rsidRDefault="00086EAE" w:rsidP="00E25502">
      <w:pPr>
        <w:pStyle w:val="PSlhteet"/>
      </w:pPr>
      <w:r w:rsidRPr="00E25502">
        <w:t>Financial Service Authority Review Report (2002), on effective corporate governance, accessed on 15</w:t>
      </w:r>
      <w:r w:rsidRPr="00E25502">
        <w:rPr>
          <w:vertAlign w:val="superscript"/>
        </w:rPr>
        <w:t>th</w:t>
      </w:r>
      <w:r w:rsidRPr="00E25502">
        <w:t xml:space="preserve"> January 2015.</w:t>
      </w:r>
    </w:p>
    <w:p w14:paraId="5364F589" w14:textId="77777777" w:rsidR="00086EAE" w:rsidRPr="00E25502" w:rsidRDefault="00086EAE" w:rsidP="00E25502">
      <w:pPr>
        <w:pStyle w:val="PSlhteet"/>
      </w:pPr>
      <w:r w:rsidRPr="00E25502">
        <w:lastRenderedPageBreak/>
        <w:t>Financial Service Bill available at HM Treasury, Accessed from 20</w:t>
      </w:r>
      <w:r w:rsidRPr="00E25502">
        <w:rPr>
          <w:vertAlign w:val="superscript"/>
        </w:rPr>
        <w:t>th</w:t>
      </w:r>
      <w:r w:rsidRPr="00E25502">
        <w:t xml:space="preserve"> January, 2015.</w:t>
      </w:r>
    </w:p>
    <w:p w14:paraId="632C78A3" w14:textId="77777777" w:rsidR="00086EAE" w:rsidRPr="00E25502" w:rsidRDefault="00086EAE" w:rsidP="00E25502">
      <w:pPr>
        <w:pStyle w:val="PSlhteet"/>
      </w:pPr>
      <w:r w:rsidRPr="00E25502">
        <w:t xml:space="preserve">Firer, C. and Meth, G. (1986), ‘Information Disclosure in Annual Reports in South Africa’, Omega: </w:t>
      </w:r>
      <w:r w:rsidRPr="00E25502">
        <w:rPr>
          <w:i/>
        </w:rPr>
        <w:t>The International Journal of Management Science</w:t>
      </w:r>
      <w:r w:rsidRPr="00E25502">
        <w:t>, Volume 14, No. 5, page 373-382.</w:t>
      </w:r>
    </w:p>
    <w:p w14:paraId="3C1CE653" w14:textId="77777777" w:rsidR="00086EAE" w:rsidRPr="00E25502" w:rsidRDefault="00086EAE" w:rsidP="00E25502">
      <w:pPr>
        <w:pStyle w:val="PSlhteet"/>
      </w:pPr>
      <w:r w:rsidRPr="00E25502">
        <w:rPr>
          <w:rFonts w:eastAsia="Cambria"/>
        </w:rPr>
        <w:t>Global Corporate Governance Principles: Revised (2009), International Corporate Governance Network, ICGN, 2009.</w:t>
      </w:r>
    </w:p>
    <w:p w14:paraId="3BBCC137" w14:textId="77777777" w:rsidR="00086EAE" w:rsidRPr="00E25502" w:rsidRDefault="00086EAE" w:rsidP="00E25502">
      <w:pPr>
        <w:pStyle w:val="PSlhteet"/>
      </w:pPr>
      <w:r w:rsidRPr="00E25502">
        <w:t>Gompers, P., Ishii</w:t>
      </w:r>
      <w:r w:rsidRPr="00E25502">
        <w:rPr>
          <w:i/>
          <w:iCs/>
        </w:rPr>
        <w:t xml:space="preserve">, </w:t>
      </w:r>
      <w:r w:rsidRPr="00E25502">
        <w:t xml:space="preserve">J. and Metrick, A. (2003), ‘Corporate Governance and Equity Prices’, </w:t>
      </w:r>
      <w:r w:rsidRPr="00E25502">
        <w:rPr>
          <w:i/>
          <w:iCs/>
        </w:rPr>
        <w:t xml:space="preserve">Quarterly Journal of Economics, </w:t>
      </w:r>
      <w:r w:rsidRPr="00E25502">
        <w:t>Volume 118, page107-155.</w:t>
      </w:r>
    </w:p>
    <w:p w14:paraId="534D2442" w14:textId="77777777" w:rsidR="00086EAE" w:rsidRPr="00E25502" w:rsidRDefault="00086EAE" w:rsidP="00E25502">
      <w:pPr>
        <w:pStyle w:val="PSlhteet"/>
      </w:pPr>
      <w:proofErr w:type="spellStart"/>
      <w:r w:rsidRPr="00E25502">
        <w:rPr>
          <w:rFonts w:eastAsia="Calibri"/>
        </w:rPr>
        <w:t>Greenbury</w:t>
      </w:r>
      <w:proofErr w:type="spellEnd"/>
      <w:r w:rsidRPr="00E25502">
        <w:rPr>
          <w:rFonts w:eastAsia="Calibri"/>
        </w:rPr>
        <w:t>, R., (1995), Directors’ Remuneration: Report of A Study Group. Gee Publishing, London.</w:t>
      </w:r>
    </w:p>
    <w:p w14:paraId="5174EA8B" w14:textId="77777777" w:rsidR="00086EAE" w:rsidRPr="00E25502" w:rsidRDefault="00086EAE" w:rsidP="00E25502">
      <w:pPr>
        <w:pStyle w:val="PSlhteet"/>
      </w:pPr>
      <w:r w:rsidRPr="00E25502">
        <w:rPr>
          <w:rFonts w:eastAsia="Cambria"/>
        </w:rPr>
        <w:t xml:space="preserve">Guest, P. M. (2009), ‘The Impact of Board Size on Firm Performance: Evidence from the UK’, </w:t>
      </w:r>
      <w:r w:rsidRPr="00E25502">
        <w:rPr>
          <w:rFonts w:eastAsia="Cambria"/>
          <w:i/>
          <w:iCs/>
        </w:rPr>
        <w:t>The European Journal of Finance</w:t>
      </w:r>
      <w:r w:rsidRPr="00E25502">
        <w:rPr>
          <w:rFonts w:eastAsia="Cambria"/>
        </w:rPr>
        <w:t>, Volume 15, No. 4, page 385-404.</w:t>
      </w:r>
    </w:p>
    <w:p w14:paraId="0D56A5EC" w14:textId="77777777" w:rsidR="00086EAE" w:rsidRPr="00E25502" w:rsidRDefault="00086EAE" w:rsidP="00E25502">
      <w:pPr>
        <w:pStyle w:val="PSlhteet"/>
      </w:pPr>
      <w:r w:rsidRPr="00E25502">
        <w:t>Gujarati, D. N. (2003), Basic Econometrics, 4th Edition, McGraw-Hill Companies, New York, USA.</w:t>
      </w:r>
    </w:p>
    <w:p w14:paraId="502816E4" w14:textId="77777777" w:rsidR="00086EAE" w:rsidRPr="00E25502" w:rsidRDefault="00086EAE" w:rsidP="00E25502">
      <w:pPr>
        <w:pStyle w:val="PSlhteet"/>
        <w:rPr>
          <w:w w:val="105"/>
        </w:rPr>
      </w:pPr>
      <w:r w:rsidRPr="00E25502">
        <w:rPr>
          <w:w w:val="105"/>
        </w:rPr>
        <w:t>Hair,</w:t>
      </w:r>
      <w:r w:rsidRPr="00E25502">
        <w:rPr>
          <w:spacing w:val="-11"/>
          <w:w w:val="105"/>
        </w:rPr>
        <w:t xml:space="preserve"> </w:t>
      </w:r>
      <w:r w:rsidRPr="00E25502">
        <w:rPr>
          <w:w w:val="105"/>
        </w:rPr>
        <w:t>J.</w:t>
      </w:r>
      <w:r w:rsidRPr="00E25502">
        <w:rPr>
          <w:spacing w:val="-11"/>
          <w:w w:val="105"/>
        </w:rPr>
        <w:t xml:space="preserve"> </w:t>
      </w:r>
      <w:r w:rsidRPr="00E25502">
        <w:rPr>
          <w:w w:val="105"/>
        </w:rPr>
        <w:t>F.</w:t>
      </w:r>
      <w:r w:rsidRPr="00E25502">
        <w:rPr>
          <w:spacing w:val="-11"/>
          <w:w w:val="105"/>
        </w:rPr>
        <w:t xml:space="preserve"> </w:t>
      </w:r>
      <w:r w:rsidRPr="00E25502">
        <w:rPr>
          <w:w w:val="105"/>
        </w:rPr>
        <w:t>J.,</w:t>
      </w:r>
      <w:r w:rsidRPr="00E25502">
        <w:rPr>
          <w:spacing w:val="-9"/>
          <w:w w:val="105"/>
        </w:rPr>
        <w:t xml:space="preserve"> </w:t>
      </w:r>
      <w:r w:rsidRPr="00E25502">
        <w:rPr>
          <w:w w:val="105"/>
        </w:rPr>
        <w:t>Anderson,</w:t>
      </w:r>
      <w:r w:rsidRPr="00E25502">
        <w:rPr>
          <w:spacing w:val="-12"/>
          <w:w w:val="105"/>
        </w:rPr>
        <w:t xml:space="preserve"> </w:t>
      </w:r>
      <w:r w:rsidRPr="00E25502">
        <w:rPr>
          <w:w w:val="105"/>
        </w:rPr>
        <w:t>R.</w:t>
      </w:r>
      <w:r w:rsidRPr="00E25502">
        <w:rPr>
          <w:spacing w:val="-11"/>
          <w:w w:val="105"/>
        </w:rPr>
        <w:t xml:space="preserve"> </w:t>
      </w:r>
      <w:r w:rsidRPr="00E25502">
        <w:rPr>
          <w:w w:val="105"/>
        </w:rPr>
        <w:t>E.</w:t>
      </w:r>
      <w:r w:rsidRPr="00E25502">
        <w:rPr>
          <w:spacing w:val="-9"/>
          <w:w w:val="105"/>
        </w:rPr>
        <w:t xml:space="preserve"> </w:t>
      </w:r>
      <w:r w:rsidRPr="00E25502">
        <w:rPr>
          <w:w w:val="105"/>
        </w:rPr>
        <w:t>Tatham,</w:t>
      </w:r>
      <w:r w:rsidRPr="00E25502">
        <w:rPr>
          <w:spacing w:val="-11"/>
          <w:w w:val="105"/>
        </w:rPr>
        <w:t xml:space="preserve"> </w:t>
      </w:r>
      <w:r w:rsidRPr="00E25502">
        <w:rPr>
          <w:w w:val="105"/>
        </w:rPr>
        <w:t>R.</w:t>
      </w:r>
      <w:r w:rsidRPr="00E25502">
        <w:rPr>
          <w:spacing w:val="-11"/>
          <w:w w:val="105"/>
        </w:rPr>
        <w:t xml:space="preserve"> </w:t>
      </w:r>
      <w:r w:rsidRPr="00E25502">
        <w:rPr>
          <w:w w:val="105"/>
        </w:rPr>
        <w:t>L</w:t>
      </w:r>
      <w:r w:rsidRPr="00E25502">
        <w:rPr>
          <w:spacing w:val="35"/>
          <w:w w:val="105"/>
        </w:rPr>
        <w:t xml:space="preserve"> </w:t>
      </w:r>
      <w:r w:rsidRPr="00E25502">
        <w:rPr>
          <w:w w:val="105"/>
        </w:rPr>
        <w:t>and</w:t>
      </w:r>
      <w:r w:rsidRPr="00E25502">
        <w:rPr>
          <w:spacing w:val="-11"/>
          <w:w w:val="105"/>
        </w:rPr>
        <w:t xml:space="preserve"> </w:t>
      </w:r>
      <w:r w:rsidRPr="00E25502">
        <w:rPr>
          <w:w w:val="105"/>
        </w:rPr>
        <w:t>Black,</w:t>
      </w:r>
      <w:r w:rsidRPr="00E25502">
        <w:rPr>
          <w:spacing w:val="-11"/>
          <w:w w:val="105"/>
        </w:rPr>
        <w:t xml:space="preserve"> </w:t>
      </w:r>
      <w:r w:rsidRPr="00E25502">
        <w:rPr>
          <w:w w:val="105"/>
        </w:rPr>
        <w:t>W.</w:t>
      </w:r>
      <w:r w:rsidRPr="00E25502">
        <w:rPr>
          <w:spacing w:val="-11"/>
          <w:w w:val="105"/>
        </w:rPr>
        <w:t xml:space="preserve"> </w:t>
      </w:r>
      <w:r w:rsidRPr="00E25502">
        <w:rPr>
          <w:w w:val="105"/>
        </w:rPr>
        <w:t>C.</w:t>
      </w:r>
      <w:r w:rsidRPr="00E25502">
        <w:rPr>
          <w:spacing w:val="-11"/>
          <w:w w:val="105"/>
        </w:rPr>
        <w:t xml:space="preserve"> </w:t>
      </w:r>
      <w:r w:rsidRPr="00E25502">
        <w:rPr>
          <w:w w:val="105"/>
        </w:rPr>
        <w:t xml:space="preserve">(1998), </w:t>
      </w:r>
      <w:r w:rsidRPr="00E25502">
        <w:rPr>
          <w:i/>
          <w:w w:val="105"/>
        </w:rPr>
        <w:t>Multivariate</w:t>
      </w:r>
      <w:r w:rsidRPr="00E25502">
        <w:rPr>
          <w:i/>
          <w:spacing w:val="-11"/>
          <w:w w:val="105"/>
        </w:rPr>
        <w:t xml:space="preserve"> </w:t>
      </w:r>
      <w:r w:rsidRPr="00E25502">
        <w:rPr>
          <w:i/>
          <w:w w:val="105"/>
        </w:rPr>
        <w:t>Data</w:t>
      </w:r>
      <w:r w:rsidRPr="00E25502">
        <w:rPr>
          <w:i/>
          <w:spacing w:val="-11"/>
          <w:w w:val="105"/>
        </w:rPr>
        <w:t xml:space="preserve"> </w:t>
      </w:r>
      <w:r w:rsidRPr="00E25502">
        <w:rPr>
          <w:i/>
          <w:w w:val="105"/>
        </w:rPr>
        <w:t>Analysis</w:t>
      </w:r>
      <w:r w:rsidRPr="00E25502">
        <w:rPr>
          <w:w w:val="105"/>
        </w:rPr>
        <w:t>.</w:t>
      </w:r>
      <w:r w:rsidRPr="00E25502">
        <w:rPr>
          <w:spacing w:val="-11"/>
          <w:w w:val="105"/>
        </w:rPr>
        <w:t xml:space="preserve"> </w:t>
      </w:r>
      <w:r w:rsidRPr="00E25502">
        <w:rPr>
          <w:w w:val="105"/>
        </w:rPr>
        <w:t>New</w:t>
      </w:r>
      <w:r w:rsidRPr="00E25502">
        <w:rPr>
          <w:spacing w:val="-11"/>
          <w:w w:val="105"/>
        </w:rPr>
        <w:t xml:space="preserve"> </w:t>
      </w:r>
      <w:r w:rsidRPr="00E25502">
        <w:rPr>
          <w:w w:val="105"/>
        </w:rPr>
        <w:t>York: Macmillan.</w:t>
      </w:r>
    </w:p>
    <w:p w14:paraId="2D02FF99" w14:textId="77777777" w:rsidR="00086EAE" w:rsidRPr="00E25502" w:rsidRDefault="00086EAE" w:rsidP="00E25502">
      <w:pPr>
        <w:pStyle w:val="PSlhteet"/>
      </w:pPr>
      <w:r w:rsidRPr="00E25502">
        <w:t xml:space="preserve">Hair, J. F. J., Anderson, R. E. Tatham, R. L and Black, W. C. (2006), </w:t>
      </w:r>
      <w:r w:rsidRPr="00E25502">
        <w:rPr>
          <w:i/>
          <w:iCs/>
        </w:rPr>
        <w:t>Multivariate Data Analysis</w:t>
      </w:r>
      <w:r w:rsidRPr="00E25502">
        <w:t xml:space="preserve"> </w:t>
      </w:r>
      <w:r w:rsidRPr="00E25502">
        <w:rPr>
          <w:i/>
        </w:rPr>
        <w:t>with Readings.</w:t>
      </w:r>
      <w:r w:rsidRPr="00E25502">
        <w:t xml:space="preserve"> New York: Macmillan.</w:t>
      </w:r>
    </w:p>
    <w:p w14:paraId="67145118" w14:textId="77777777" w:rsidR="00086EAE" w:rsidRPr="00E25502" w:rsidRDefault="00086EAE" w:rsidP="00E25502">
      <w:pPr>
        <w:pStyle w:val="PSlhteet"/>
      </w:pPr>
      <w:r w:rsidRPr="00E25502">
        <w:rPr>
          <w:rFonts w:eastAsia="Calibri"/>
        </w:rPr>
        <w:t>Hampel, R., (1998), Committee on Corporate Governance: Final Report. Gee, London.</w:t>
      </w:r>
    </w:p>
    <w:p w14:paraId="1177EE9F" w14:textId="77777777" w:rsidR="00086EAE" w:rsidRPr="00E25502" w:rsidRDefault="00086EAE" w:rsidP="00E25502">
      <w:pPr>
        <w:pStyle w:val="PSlhteet"/>
        <w:rPr>
          <w:rFonts w:eastAsia="Cambria"/>
        </w:rPr>
      </w:pPr>
      <w:proofErr w:type="spellStart"/>
      <w:r w:rsidRPr="00E25502">
        <w:rPr>
          <w:rFonts w:eastAsia="Cambria"/>
        </w:rPr>
        <w:t>Haniffa</w:t>
      </w:r>
      <w:proofErr w:type="spellEnd"/>
      <w:r w:rsidRPr="00E25502">
        <w:rPr>
          <w:rFonts w:eastAsia="Cambria"/>
        </w:rPr>
        <w:t xml:space="preserve">, R. and </w:t>
      </w:r>
      <w:proofErr w:type="spellStart"/>
      <w:r w:rsidRPr="00E25502">
        <w:rPr>
          <w:rFonts w:eastAsia="Cambria"/>
        </w:rPr>
        <w:t>Hudaib</w:t>
      </w:r>
      <w:proofErr w:type="spellEnd"/>
      <w:r w:rsidRPr="00E25502">
        <w:rPr>
          <w:rFonts w:eastAsia="Cambria"/>
        </w:rPr>
        <w:t xml:space="preserve">, M. (2006), ‘Corporate Governance Structure and Performance of Malaysian Listed Companies’, </w:t>
      </w:r>
      <w:r w:rsidRPr="00E25502">
        <w:rPr>
          <w:rFonts w:eastAsia="Cambria"/>
          <w:i/>
          <w:iCs/>
        </w:rPr>
        <w:t>Journal of Business, Finance and Accounting</w:t>
      </w:r>
      <w:r w:rsidRPr="00E25502">
        <w:rPr>
          <w:rFonts w:eastAsia="Cambria"/>
        </w:rPr>
        <w:t>, Volume 33,</w:t>
      </w:r>
      <w:r w:rsidRPr="00E25502">
        <w:rPr>
          <w:rFonts w:eastAsia="Cambria"/>
          <w:i/>
          <w:iCs/>
        </w:rPr>
        <w:t xml:space="preserve"> </w:t>
      </w:r>
      <w:r w:rsidRPr="00E25502">
        <w:rPr>
          <w:rFonts w:eastAsia="Cambria"/>
        </w:rPr>
        <w:t>No. 7 &amp; 8, page 1034-1062.</w:t>
      </w:r>
    </w:p>
    <w:p w14:paraId="410A08A0" w14:textId="77777777" w:rsidR="00086EAE" w:rsidRPr="00E25502" w:rsidRDefault="00086EAE" w:rsidP="00E25502">
      <w:pPr>
        <w:pStyle w:val="PSlhteet"/>
        <w:rPr>
          <w:rFonts w:eastAsia="Cambria"/>
        </w:rPr>
      </w:pPr>
      <w:r w:rsidRPr="00E25502">
        <w:t xml:space="preserve">Hausman, J. A. (1978), ‘Specification tests in econometrics’ </w:t>
      </w:r>
      <w:proofErr w:type="spellStart"/>
      <w:r w:rsidRPr="00E25502">
        <w:t>Econometrica</w:t>
      </w:r>
      <w:proofErr w:type="spellEnd"/>
      <w:r w:rsidRPr="00E25502">
        <w:t xml:space="preserve">, </w:t>
      </w:r>
      <w:r w:rsidRPr="00E25502">
        <w:rPr>
          <w:i/>
          <w:iCs/>
        </w:rPr>
        <w:t>46</w:t>
      </w:r>
      <w:r w:rsidRPr="00E25502">
        <w:t> </w:t>
      </w:r>
      <w:r w:rsidRPr="00E25502">
        <w:rPr>
          <w:i/>
          <w:iCs/>
        </w:rPr>
        <w:t>(6): 1251–1271.</w:t>
      </w:r>
      <w:r w:rsidRPr="00E25502">
        <w:t> </w:t>
      </w:r>
      <w:hyperlink r:id="rId10" w:tooltip="International Standard Serial Number" w:history="1">
        <w:r w:rsidRPr="00E25502">
          <w:t>ISSN</w:t>
        </w:r>
      </w:hyperlink>
      <w:r w:rsidRPr="00E25502">
        <w:rPr>
          <w:i/>
          <w:iCs/>
        </w:rPr>
        <w:t> </w:t>
      </w:r>
      <w:hyperlink r:id="rId11" w:history="1">
        <w:r w:rsidRPr="00E25502">
          <w:t>0012-9682</w:t>
        </w:r>
      </w:hyperlink>
      <w:r w:rsidRPr="00E25502">
        <w:rPr>
          <w:i/>
          <w:iCs/>
        </w:rPr>
        <w:t>.</w:t>
      </w:r>
    </w:p>
    <w:p w14:paraId="38F9CB2D" w14:textId="77777777" w:rsidR="00086EAE" w:rsidRPr="00E25502" w:rsidRDefault="00086EAE" w:rsidP="00E25502">
      <w:pPr>
        <w:pStyle w:val="PSlhteet"/>
      </w:pPr>
      <w:r w:rsidRPr="00E25502">
        <w:t>Henry, D. (2008), ‘Corporate Governance Structure and the Valuation of Australian Firms: Is</w:t>
      </w:r>
      <w:r w:rsidRPr="00E25502">
        <w:rPr>
          <w:i/>
          <w:iCs/>
        </w:rPr>
        <w:t xml:space="preserve"> </w:t>
      </w:r>
      <w:r w:rsidRPr="00E25502">
        <w:t xml:space="preserve">there Value in Ticking the Boxes’, </w:t>
      </w:r>
      <w:r w:rsidRPr="00E25502">
        <w:rPr>
          <w:i/>
          <w:iCs/>
        </w:rPr>
        <w:t>Journal of Business Finance and Accounting</w:t>
      </w:r>
      <w:r w:rsidRPr="00E25502">
        <w:t>, Volume 35, No. 7 &amp; 8, page 912-942.</w:t>
      </w:r>
    </w:p>
    <w:p w14:paraId="61F44A26" w14:textId="77777777" w:rsidR="00086EAE" w:rsidRPr="00E25502" w:rsidRDefault="00086EAE" w:rsidP="00E25502">
      <w:pPr>
        <w:pStyle w:val="PSlhteet"/>
      </w:pPr>
      <w:r w:rsidRPr="00E25502">
        <w:t xml:space="preserve">Higgs, D. (2003), </w:t>
      </w:r>
      <w:r w:rsidRPr="00E25502">
        <w:rPr>
          <w:iCs/>
        </w:rPr>
        <w:t>Review of the Role and Effectiveness of Non-Executive</w:t>
      </w:r>
      <w:r w:rsidRPr="00E25502">
        <w:t xml:space="preserve"> </w:t>
      </w:r>
      <w:r w:rsidRPr="00E25502">
        <w:rPr>
          <w:iCs/>
        </w:rPr>
        <w:t>Directors</w:t>
      </w:r>
      <w:r w:rsidRPr="00E25502">
        <w:t xml:space="preserve">. London: UK Department of Trade and Industry. </w:t>
      </w:r>
      <w:r w:rsidRPr="00E25502">
        <w:rPr>
          <w:rFonts w:eastAsia="Cambria"/>
        </w:rPr>
        <w:t xml:space="preserve">HM Treasury: </w:t>
      </w:r>
      <w:hyperlink r:id="rId12" w:history="1">
        <w:r w:rsidRPr="00E25502">
          <w:rPr>
            <w:rStyle w:val="Hyperlink"/>
            <w:rFonts w:eastAsia="Cambria"/>
            <w:color w:val="auto"/>
            <w:u w:val="none"/>
          </w:rPr>
          <w:t>https://www.gov.uk/government/publications,(03/2/14</w:t>
        </w:r>
      </w:hyperlink>
      <w:r w:rsidRPr="00E25502">
        <w:rPr>
          <w:rFonts w:eastAsia="Cambria"/>
        </w:rPr>
        <w:t>).</w:t>
      </w:r>
    </w:p>
    <w:p w14:paraId="73CD749C" w14:textId="77777777" w:rsidR="00086EAE" w:rsidRPr="00E25502" w:rsidRDefault="00086EAE" w:rsidP="00E25502">
      <w:pPr>
        <w:pStyle w:val="PSlhteet"/>
      </w:pPr>
      <w:r w:rsidRPr="00E25502">
        <w:t xml:space="preserve">Hill, C.W.L. and Jones, T.M. (1992), ‘Stakeholder-agency theory’, </w:t>
      </w:r>
      <w:r w:rsidRPr="00E25502">
        <w:rPr>
          <w:i/>
          <w:iCs/>
        </w:rPr>
        <w:t>Journal of Management Studies</w:t>
      </w:r>
      <w:r w:rsidRPr="00E25502">
        <w:t>, Volume 29, No. 2: 131–54.</w:t>
      </w:r>
    </w:p>
    <w:p w14:paraId="2BFF7896" w14:textId="77777777" w:rsidR="00086EAE" w:rsidRPr="00E25502" w:rsidRDefault="00086EAE" w:rsidP="00E25502">
      <w:pPr>
        <w:pStyle w:val="PSlhteet"/>
      </w:pPr>
      <w:r w:rsidRPr="00E25502">
        <w:t xml:space="preserve">Hillman, A.J., and Dalziel, T., (2003), Boards of directors and firm performance: integrating agency and resource dependence perspectives; </w:t>
      </w:r>
      <w:r w:rsidRPr="00E25502">
        <w:rPr>
          <w:i/>
        </w:rPr>
        <w:t>Academy of Management Review</w:t>
      </w:r>
      <w:r w:rsidRPr="00E25502">
        <w:t>. 28, 383–396.</w:t>
      </w:r>
    </w:p>
    <w:p w14:paraId="02C1EC56" w14:textId="77777777" w:rsidR="00730696" w:rsidRPr="00E25502" w:rsidRDefault="00086EAE" w:rsidP="00E25502">
      <w:pPr>
        <w:pStyle w:val="PSlhteet"/>
      </w:pPr>
      <w:r w:rsidRPr="00E25502">
        <w:t>HM Treasury (2012), Response to the financial crisis report,</w:t>
      </w:r>
      <w:r w:rsidR="00730696" w:rsidRPr="00E25502">
        <w:t xml:space="preserve"> </w:t>
      </w:r>
      <w:hyperlink r:id="rId13" w:history="1">
        <w:r w:rsidRPr="00E25502">
          <w:rPr>
            <w:rStyle w:val="Hyperlink"/>
            <w:color w:val="auto"/>
            <w:u w:val="none"/>
          </w:rPr>
          <w:t>https://www.gov.uk/government/publications/review-of-hm-</w:t>
        </w:r>
        <w:r w:rsidRPr="00E25502">
          <w:rPr>
            <w:rStyle w:val="Hyperlink"/>
            <w:color w:val="auto"/>
            <w:u w:val="none"/>
          </w:rPr>
          <w:lastRenderedPageBreak/>
          <w:t>treasurys-response-to-the-financial-crisis-2007-09</w:t>
        </w:r>
      </w:hyperlink>
      <w:r w:rsidRPr="00E25502">
        <w:t>, accessed 16</w:t>
      </w:r>
      <w:r w:rsidRPr="00E25502">
        <w:rPr>
          <w:vertAlign w:val="superscript"/>
        </w:rPr>
        <w:t>th</w:t>
      </w:r>
      <w:r w:rsidRPr="00E25502">
        <w:t xml:space="preserve"> January, 2017.</w:t>
      </w:r>
    </w:p>
    <w:p w14:paraId="64944A8D" w14:textId="755D3E19" w:rsidR="00086EAE" w:rsidRPr="00E25502" w:rsidRDefault="00086EAE" w:rsidP="00E25502">
      <w:pPr>
        <w:pStyle w:val="PSlhteet"/>
      </w:pPr>
      <w:r w:rsidRPr="00E25502">
        <w:t xml:space="preserve">HM Treasury (2015), </w:t>
      </w:r>
      <w:hyperlink r:id="rId14" w:history="1">
        <w:r w:rsidRPr="00E25502">
          <w:rPr>
            <w:rStyle w:val="Hyperlink"/>
            <w:rFonts w:eastAsia="MS Gothic"/>
            <w:color w:val="auto"/>
            <w:u w:val="none"/>
          </w:rPr>
          <w:t>https://www.gov.uk/government/publications</w:t>
        </w:r>
      </w:hyperlink>
      <w:r w:rsidRPr="00E25502">
        <w:t>; accessed 10</w:t>
      </w:r>
      <w:r w:rsidRPr="00E25502">
        <w:rPr>
          <w:vertAlign w:val="superscript"/>
        </w:rPr>
        <w:t>th</w:t>
      </w:r>
      <w:r w:rsidRPr="00E25502">
        <w:t xml:space="preserve"> January, 2015.</w:t>
      </w:r>
    </w:p>
    <w:p w14:paraId="27FCDC9E" w14:textId="77777777" w:rsidR="00086EAE" w:rsidRPr="00E25502" w:rsidRDefault="00086EAE" w:rsidP="00E25502">
      <w:pPr>
        <w:pStyle w:val="PSlhteet"/>
      </w:pPr>
      <w:proofErr w:type="spellStart"/>
      <w:r w:rsidRPr="00E25502">
        <w:t>Ho</w:t>
      </w:r>
      <w:proofErr w:type="spellEnd"/>
      <w:r w:rsidRPr="00E25502">
        <w:t xml:space="preserve">, C.A. and Williams, S. M. (2003), ‘International Comparative Analysis of the Association between Board Structure and the Efficiency of Value Added by a Firm from its Physical Capital and Intellectual Capital Resources’, </w:t>
      </w:r>
      <w:r w:rsidRPr="00E25502">
        <w:rPr>
          <w:i/>
        </w:rPr>
        <w:t>The International Journal of Accounting</w:t>
      </w:r>
      <w:r w:rsidRPr="00E25502">
        <w:t>, Volume 38, page 465-491.</w:t>
      </w:r>
    </w:p>
    <w:p w14:paraId="2AA85844" w14:textId="77777777" w:rsidR="00086EAE" w:rsidRPr="00E25502" w:rsidRDefault="00086EAE" w:rsidP="00E25502">
      <w:pPr>
        <w:pStyle w:val="PSlhteet"/>
      </w:pPr>
      <w:proofErr w:type="spellStart"/>
      <w:r w:rsidRPr="00E25502">
        <w:t>Huse</w:t>
      </w:r>
      <w:proofErr w:type="spellEnd"/>
      <w:r w:rsidRPr="00E25502">
        <w:t xml:space="preserve">, M. (2007), Board, Governance and Value Creation: The Human Side of Corporate governance, published. </w:t>
      </w:r>
    </w:p>
    <w:p w14:paraId="174EEB64" w14:textId="77777777" w:rsidR="00086EAE" w:rsidRPr="00E25502" w:rsidRDefault="00086EAE" w:rsidP="00E25502">
      <w:pPr>
        <w:pStyle w:val="PSlhteet"/>
      </w:pPr>
      <w:r w:rsidRPr="00E25502">
        <w:t xml:space="preserve">Jensen, M. C. and </w:t>
      </w:r>
      <w:proofErr w:type="spellStart"/>
      <w:r w:rsidRPr="00E25502">
        <w:t>Meckling</w:t>
      </w:r>
      <w:proofErr w:type="spellEnd"/>
      <w:r w:rsidRPr="00E25502">
        <w:t>, W. H. (1976), ‘Theory of the Firm: Managerial Behaviour,</w:t>
      </w:r>
      <w:r w:rsidRPr="00E25502">
        <w:rPr>
          <w:rFonts w:eastAsia="Cambria"/>
        </w:rPr>
        <w:t xml:space="preserve"> </w:t>
      </w:r>
      <w:r w:rsidRPr="00E25502">
        <w:t xml:space="preserve">Agency costs and Ownership Structure’, </w:t>
      </w:r>
      <w:r w:rsidRPr="00E25502">
        <w:rPr>
          <w:i/>
        </w:rPr>
        <w:t>Journal of Financial</w:t>
      </w:r>
      <w:r w:rsidRPr="00E25502">
        <w:t xml:space="preserve"> </w:t>
      </w:r>
      <w:r w:rsidRPr="00E25502">
        <w:rPr>
          <w:i/>
        </w:rPr>
        <w:t>Economics</w:t>
      </w:r>
      <w:r w:rsidRPr="00E25502">
        <w:t>, Volume 3, page 305-360.</w:t>
      </w:r>
    </w:p>
    <w:p w14:paraId="49A92821" w14:textId="77777777" w:rsidR="00086EAE" w:rsidRPr="00E25502" w:rsidRDefault="00086EAE" w:rsidP="00E25502">
      <w:pPr>
        <w:pStyle w:val="PSlhteet"/>
      </w:pPr>
      <w:r w:rsidRPr="00E25502">
        <w:t>Kang,</w:t>
      </w:r>
      <w:r w:rsidRPr="00E25502">
        <w:rPr>
          <w:spacing w:val="46"/>
        </w:rPr>
        <w:t xml:space="preserve"> </w:t>
      </w:r>
      <w:r w:rsidRPr="00E25502">
        <w:t>H.,</w:t>
      </w:r>
      <w:r w:rsidRPr="00E25502">
        <w:rPr>
          <w:spacing w:val="43"/>
        </w:rPr>
        <w:t xml:space="preserve"> </w:t>
      </w:r>
      <w:r w:rsidRPr="00E25502">
        <w:t>Cheng,</w:t>
      </w:r>
      <w:r w:rsidRPr="00E25502">
        <w:rPr>
          <w:spacing w:val="46"/>
        </w:rPr>
        <w:t xml:space="preserve"> </w:t>
      </w:r>
      <w:r w:rsidRPr="00E25502">
        <w:t>M.,</w:t>
      </w:r>
      <w:r w:rsidRPr="00E25502">
        <w:rPr>
          <w:spacing w:val="40"/>
        </w:rPr>
        <w:t xml:space="preserve"> </w:t>
      </w:r>
      <w:r w:rsidRPr="00E25502">
        <w:t>and</w:t>
      </w:r>
      <w:r w:rsidRPr="00E25502">
        <w:rPr>
          <w:spacing w:val="42"/>
        </w:rPr>
        <w:t xml:space="preserve"> </w:t>
      </w:r>
      <w:r w:rsidRPr="00E25502">
        <w:t>Gray,</w:t>
      </w:r>
      <w:r w:rsidRPr="00E25502">
        <w:rPr>
          <w:spacing w:val="43"/>
        </w:rPr>
        <w:t xml:space="preserve"> </w:t>
      </w:r>
      <w:r w:rsidRPr="00E25502">
        <w:t>S.</w:t>
      </w:r>
      <w:r w:rsidRPr="00E25502">
        <w:rPr>
          <w:spacing w:val="40"/>
        </w:rPr>
        <w:t xml:space="preserve"> </w:t>
      </w:r>
      <w:r w:rsidRPr="00E25502">
        <w:t>J.</w:t>
      </w:r>
      <w:r w:rsidRPr="00E25502">
        <w:rPr>
          <w:spacing w:val="43"/>
        </w:rPr>
        <w:t xml:space="preserve"> </w:t>
      </w:r>
      <w:r w:rsidRPr="00E25502">
        <w:t>(2007), Corporate</w:t>
      </w:r>
      <w:r w:rsidRPr="00E25502">
        <w:rPr>
          <w:spacing w:val="43"/>
        </w:rPr>
        <w:t xml:space="preserve"> </w:t>
      </w:r>
      <w:r w:rsidRPr="00E25502">
        <w:t>governance</w:t>
      </w:r>
      <w:r w:rsidRPr="00E25502">
        <w:rPr>
          <w:spacing w:val="40"/>
        </w:rPr>
        <w:t xml:space="preserve"> </w:t>
      </w:r>
      <w:r w:rsidRPr="00E25502">
        <w:t>and</w:t>
      </w:r>
      <w:r w:rsidRPr="00E25502">
        <w:rPr>
          <w:spacing w:val="39"/>
        </w:rPr>
        <w:t xml:space="preserve"> </w:t>
      </w:r>
      <w:r w:rsidRPr="00E25502">
        <w:t>board</w:t>
      </w:r>
      <w:r w:rsidRPr="00E25502">
        <w:rPr>
          <w:spacing w:val="39"/>
        </w:rPr>
        <w:t xml:space="preserve"> </w:t>
      </w:r>
      <w:r w:rsidRPr="00E25502">
        <w:t>composition:</w:t>
      </w:r>
      <w:r w:rsidRPr="00E25502">
        <w:rPr>
          <w:spacing w:val="39"/>
        </w:rPr>
        <w:t xml:space="preserve"> </w:t>
      </w:r>
      <w:r w:rsidRPr="00E25502">
        <w:t>Diversity</w:t>
      </w:r>
      <w:r w:rsidRPr="00E25502">
        <w:rPr>
          <w:spacing w:val="39"/>
        </w:rPr>
        <w:t xml:space="preserve"> </w:t>
      </w:r>
      <w:r w:rsidRPr="00E25502">
        <w:t>and</w:t>
      </w:r>
      <w:r w:rsidRPr="00E25502">
        <w:rPr>
          <w:position w:val="-8"/>
        </w:rPr>
        <w:t xml:space="preserve"> </w:t>
      </w:r>
      <w:r w:rsidRPr="00E25502">
        <w:t xml:space="preserve">independence of Australian boards. </w:t>
      </w:r>
      <w:r w:rsidRPr="00E25502">
        <w:rPr>
          <w:i/>
        </w:rPr>
        <w:t>Corporate Governance: An International Review</w:t>
      </w:r>
      <w:r w:rsidRPr="00E25502">
        <w:t>, 15, 194–207.</w:t>
      </w:r>
    </w:p>
    <w:p w14:paraId="79755ACB" w14:textId="77777777" w:rsidR="00086EAE" w:rsidRPr="00E25502" w:rsidRDefault="00086EAE" w:rsidP="00E25502">
      <w:pPr>
        <w:pStyle w:val="PSlhteet"/>
      </w:pPr>
      <w:proofErr w:type="spellStart"/>
      <w:r w:rsidRPr="00E25502">
        <w:rPr>
          <w:rFonts w:eastAsia="Cambria"/>
        </w:rPr>
        <w:t>Karamanou</w:t>
      </w:r>
      <w:proofErr w:type="spellEnd"/>
      <w:r w:rsidRPr="00E25502">
        <w:rPr>
          <w:rFonts w:eastAsia="Cambria"/>
        </w:rPr>
        <w:t xml:space="preserve">, I. and </w:t>
      </w:r>
      <w:proofErr w:type="spellStart"/>
      <w:r w:rsidRPr="00E25502">
        <w:rPr>
          <w:rFonts w:eastAsia="Cambria"/>
        </w:rPr>
        <w:t>Vefeas</w:t>
      </w:r>
      <w:proofErr w:type="spellEnd"/>
      <w:r w:rsidRPr="00E25502">
        <w:rPr>
          <w:rFonts w:eastAsia="Cambria"/>
        </w:rPr>
        <w:t>, N. (2005), The association between corporate boards, audit committees, and management earnings forecasts: An empirical analysis</w:t>
      </w:r>
      <w:r w:rsidRPr="00E25502">
        <w:rPr>
          <w:rFonts w:eastAsia="Cambria"/>
          <w:i/>
        </w:rPr>
        <w:t>. Journal of Accounting Research</w:t>
      </w:r>
      <w:r w:rsidRPr="00E25502">
        <w:rPr>
          <w:rFonts w:eastAsia="Cambria"/>
        </w:rPr>
        <w:t>, 43(3), 453-486.</w:t>
      </w:r>
    </w:p>
    <w:p w14:paraId="262911A9" w14:textId="77777777" w:rsidR="00086EAE" w:rsidRPr="00E25502" w:rsidRDefault="00086EAE" w:rsidP="00E25502">
      <w:pPr>
        <w:pStyle w:val="PSlhteet"/>
        <w:rPr>
          <w:shd w:val="clear" w:color="auto" w:fill="FFFFFF"/>
        </w:rPr>
      </w:pPr>
      <w:r w:rsidRPr="00E25502">
        <w:rPr>
          <w:shd w:val="clear" w:color="auto" w:fill="FFFFFF"/>
        </w:rPr>
        <w:t xml:space="preserve">Karim, W.A.K.M., </w:t>
      </w:r>
      <w:proofErr w:type="spellStart"/>
      <w:r w:rsidRPr="00E25502">
        <w:rPr>
          <w:shd w:val="clear" w:color="auto" w:fill="FFFFFF"/>
        </w:rPr>
        <w:t>Zijl</w:t>
      </w:r>
      <w:proofErr w:type="spellEnd"/>
      <w:r w:rsidRPr="00E25502">
        <w:rPr>
          <w:shd w:val="clear" w:color="auto" w:fill="FFFFFF"/>
        </w:rPr>
        <w:t xml:space="preserve">, V. T. and </w:t>
      </w:r>
      <w:proofErr w:type="spellStart"/>
      <w:r w:rsidRPr="00E25502">
        <w:rPr>
          <w:shd w:val="clear" w:color="auto" w:fill="FFFFFF"/>
        </w:rPr>
        <w:t>Mollah</w:t>
      </w:r>
      <w:proofErr w:type="spellEnd"/>
      <w:r w:rsidRPr="00E25502">
        <w:rPr>
          <w:shd w:val="clear" w:color="auto" w:fill="FFFFFF"/>
        </w:rPr>
        <w:t xml:space="preserve">, S. (2013), “Impact of board ownership, CEO-Chair duality and foreign equity participation on auditor quality choice of IPO companies: evidence from an emerging market”, </w:t>
      </w:r>
      <w:hyperlink r:id="rId15">
        <w:r w:rsidRPr="00E25502">
          <w:rPr>
            <w:i/>
            <w:shd w:val="clear" w:color="auto" w:fill="FFFFFF"/>
          </w:rPr>
          <w:t>International Journal of Accounting &amp; Information Management</w:t>
        </w:r>
      </w:hyperlink>
      <w:r w:rsidRPr="00E25502">
        <w:rPr>
          <w:shd w:val="clear" w:color="auto" w:fill="FFFFFF"/>
        </w:rPr>
        <w:t xml:space="preserve">, Vol. 21 </w:t>
      </w:r>
      <w:bookmarkStart w:id="2" w:name="_bookmark60"/>
      <w:bookmarkEnd w:id="2"/>
      <w:r w:rsidRPr="00E25502">
        <w:rPr>
          <w:shd w:val="clear" w:color="auto" w:fill="FFFFFF"/>
        </w:rPr>
        <w:t>No. 2, pp. 148-169.</w:t>
      </w:r>
    </w:p>
    <w:p w14:paraId="10975A3D" w14:textId="77777777" w:rsidR="00086EAE" w:rsidRPr="00E25502" w:rsidRDefault="00086EAE" w:rsidP="00E25502">
      <w:pPr>
        <w:pStyle w:val="PSlhteet"/>
      </w:pPr>
      <w:r w:rsidRPr="00E25502">
        <w:t xml:space="preserve">Klapper, L. F. and Love, I. (2004), ‘Corporate Governance, Investor Protection, and Performance in Emerging Markets’, </w:t>
      </w:r>
      <w:r w:rsidRPr="00E25502">
        <w:rPr>
          <w:i/>
          <w:iCs/>
        </w:rPr>
        <w:t>Journal of Corporate Finance</w:t>
      </w:r>
      <w:r w:rsidRPr="00E25502">
        <w:t>, Volume 10, page 703-728.</w:t>
      </w:r>
    </w:p>
    <w:p w14:paraId="196D8179" w14:textId="77777777" w:rsidR="00086EAE" w:rsidRPr="00E25502" w:rsidRDefault="00086EAE" w:rsidP="00E25502">
      <w:pPr>
        <w:pStyle w:val="PSlhteet"/>
        <w:rPr>
          <w:rFonts w:eastAsia="Cambria"/>
        </w:rPr>
      </w:pPr>
      <w:r w:rsidRPr="00E25502">
        <w:rPr>
          <w:rFonts w:eastAsia="Cambria"/>
        </w:rPr>
        <w:t xml:space="preserve">Klein, A., (1998), Firm performance and board committee structure, The </w:t>
      </w:r>
      <w:r w:rsidRPr="00E25502">
        <w:rPr>
          <w:rFonts w:eastAsia="Cambria"/>
          <w:i/>
        </w:rPr>
        <w:t>Journal of Law and Economics</w:t>
      </w:r>
      <w:r w:rsidRPr="00E25502">
        <w:rPr>
          <w:rFonts w:eastAsia="Cambria"/>
        </w:rPr>
        <w:t xml:space="preserve"> 41, 275–304.</w:t>
      </w:r>
    </w:p>
    <w:p w14:paraId="190CB1FC" w14:textId="77777777" w:rsidR="00086EAE" w:rsidRPr="00E25502" w:rsidRDefault="00086EAE" w:rsidP="00E25502">
      <w:pPr>
        <w:pStyle w:val="PSlhteet"/>
      </w:pPr>
      <w:r w:rsidRPr="00E25502">
        <w:rPr>
          <w:rFonts w:eastAsia="Cambria"/>
        </w:rPr>
        <w:t xml:space="preserve">Kline, R.B. (1998), </w:t>
      </w:r>
      <w:r w:rsidRPr="00E25502">
        <w:rPr>
          <w:rFonts w:eastAsia="Cambria"/>
          <w:i/>
        </w:rPr>
        <w:t>Principles and Practices of Structural Equation Modelling</w:t>
      </w:r>
      <w:r w:rsidRPr="00E25502">
        <w:rPr>
          <w:rFonts w:eastAsia="Cambria"/>
        </w:rPr>
        <w:t>. New York, Guilford Press.</w:t>
      </w:r>
    </w:p>
    <w:p w14:paraId="283C6B26" w14:textId="77777777" w:rsidR="00E25502" w:rsidRPr="00E25502" w:rsidRDefault="00086EAE" w:rsidP="00E25502">
      <w:pPr>
        <w:pStyle w:val="PSlhteet"/>
        <w:rPr>
          <w:shd w:val="clear" w:color="auto" w:fill="FFFFFF"/>
        </w:rPr>
      </w:pPr>
      <w:r w:rsidRPr="00E25502">
        <w:t xml:space="preserve">Krause, A. T., and </w:t>
      </w:r>
      <w:proofErr w:type="spellStart"/>
      <w:r w:rsidRPr="00E25502">
        <w:t>Tse</w:t>
      </w:r>
      <w:proofErr w:type="spellEnd"/>
      <w:r w:rsidRPr="00E25502">
        <w:t>, Y</w:t>
      </w:r>
      <w:r w:rsidRPr="00E25502">
        <w:rPr>
          <w:shd w:val="clear" w:color="auto" w:fill="FFFFFF"/>
        </w:rPr>
        <w:t>, (2016),</w:t>
      </w:r>
      <w:r w:rsidR="002B1E5A" w:rsidRPr="00E25502">
        <w:rPr>
          <w:shd w:val="clear" w:color="auto" w:fill="FFFFFF"/>
        </w:rPr>
        <w:t xml:space="preserve"> </w:t>
      </w:r>
      <w:r w:rsidRPr="00E25502">
        <w:rPr>
          <w:shd w:val="clear" w:color="auto" w:fill="FFFFFF"/>
        </w:rPr>
        <w:t xml:space="preserve">“Risk management and firm value: recent theory and evidence’’, </w:t>
      </w:r>
      <w:r w:rsidRPr="00E25502">
        <w:rPr>
          <w:i/>
          <w:shd w:val="clear" w:color="auto" w:fill="FFFFFF"/>
        </w:rPr>
        <w:t>International Journal of Accounting and Information Management</w:t>
      </w:r>
      <w:r w:rsidRPr="00E25502">
        <w:rPr>
          <w:shd w:val="clear" w:color="auto" w:fill="FFFFFF"/>
        </w:rPr>
        <w:t>, Vol. 24 Issue: 1, pp.56-81.</w:t>
      </w:r>
    </w:p>
    <w:p w14:paraId="1714DEC6" w14:textId="569786F4" w:rsidR="00086EAE" w:rsidRPr="00E25502" w:rsidRDefault="00086EAE" w:rsidP="00E25502">
      <w:pPr>
        <w:pStyle w:val="PSlhteet"/>
        <w:rPr>
          <w:shd w:val="clear" w:color="auto" w:fill="FFFFFF"/>
        </w:rPr>
      </w:pPr>
      <w:proofErr w:type="spellStart"/>
      <w:r w:rsidRPr="00E25502">
        <w:rPr>
          <w:shd w:val="clear" w:color="auto" w:fill="FFFFFF"/>
        </w:rPr>
        <w:t>Khosa</w:t>
      </w:r>
      <w:proofErr w:type="spellEnd"/>
      <w:r w:rsidRPr="00E25502">
        <w:rPr>
          <w:shd w:val="clear" w:color="auto" w:fill="FFFFFF"/>
        </w:rPr>
        <w:t>, A. (2017),</w:t>
      </w:r>
      <w:r w:rsidR="002B1E5A" w:rsidRPr="00E25502">
        <w:rPr>
          <w:shd w:val="clear" w:color="auto" w:fill="FFFFFF"/>
        </w:rPr>
        <w:t xml:space="preserve"> </w:t>
      </w:r>
      <w:r w:rsidRPr="00E25502">
        <w:rPr>
          <w:shd w:val="clear" w:color="auto" w:fill="FFFFFF"/>
        </w:rPr>
        <w:t xml:space="preserve">“Independent directors and firm value of group-affiliated firms", </w:t>
      </w:r>
      <w:r w:rsidRPr="00E25502">
        <w:rPr>
          <w:i/>
          <w:shd w:val="clear" w:color="auto" w:fill="FFFFFF"/>
        </w:rPr>
        <w:t>International Journal of Accounting &amp; Information Management</w:t>
      </w:r>
      <w:r w:rsidRPr="00E25502">
        <w:rPr>
          <w:shd w:val="clear" w:color="auto" w:fill="FFFFFF"/>
        </w:rPr>
        <w:t>, Vol. 25 Issue: 2, pp.217-236.</w:t>
      </w:r>
    </w:p>
    <w:p w14:paraId="16B31DAF" w14:textId="77777777" w:rsidR="00086EAE" w:rsidRPr="00E25502" w:rsidRDefault="00086EAE" w:rsidP="00E25502">
      <w:pPr>
        <w:pStyle w:val="PSlhteet"/>
      </w:pPr>
      <w:r w:rsidRPr="00E25502">
        <w:t xml:space="preserve">Krishnan, C. N. V., Vladimir Ivanov, Ronald Masulis, and Ajai Singh (2011), Venture Capital Reputations, Post-IPO Performance, and Corporate </w:t>
      </w:r>
      <w:r w:rsidRPr="00E25502">
        <w:lastRenderedPageBreak/>
        <w:t>Governance</w:t>
      </w:r>
      <w:r w:rsidRPr="00E25502">
        <w:rPr>
          <w:i/>
        </w:rPr>
        <w:t xml:space="preserve">. Journal of Financial and Quantitative Analysis, </w:t>
      </w:r>
      <w:r w:rsidRPr="00E25502">
        <w:t>Volume</w:t>
      </w:r>
      <w:r w:rsidRPr="00E25502">
        <w:rPr>
          <w:i/>
          <w:spacing w:val="-24"/>
        </w:rPr>
        <w:t xml:space="preserve"> </w:t>
      </w:r>
      <w:r w:rsidRPr="00E25502">
        <w:t>46(5):1295–1333.</w:t>
      </w:r>
    </w:p>
    <w:p w14:paraId="7517981A" w14:textId="77777777" w:rsidR="00086EAE" w:rsidRPr="00E25502" w:rsidRDefault="00086EAE" w:rsidP="00E25502">
      <w:pPr>
        <w:pStyle w:val="PSlhteet"/>
        <w:rPr>
          <w:i/>
          <w:iCs/>
        </w:rPr>
      </w:pPr>
      <w:r w:rsidRPr="00E25502">
        <w:t xml:space="preserve">Larker, D. F. and Rusticus, T. O. (2008), ‘On the Use of Instrumental Variables in Accounting Research’, </w:t>
      </w:r>
      <w:r w:rsidRPr="00E25502">
        <w:rPr>
          <w:i/>
          <w:iCs/>
        </w:rPr>
        <w:t>Working Paper.</w:t>
      </w:r>
    </w:p>
    <w:p w14:paraId="25331868" w14:textId="77777777" w:rsidR="00086EAE" w:rsidRPr="00E25502" w:rsidRDefault="00086EAE" w:rsidP="00E25502">
      <w:pPr>
        <w:pStyle w:val="PSlhteet"/>
        <w:rPr>
          <w:rFonts w:eastAsia="Cambria"/>
          <w:bCs/>
          <w:lang w:val="en-US"/>
        </w:rPr>
      </w:pPr>
      <w:r w:rsidRPr="00E25502">
        <w:t>Levine, R. (2003), The Corporate Governance of Banks- A Concise Discussion of Concepts and Evidence July 21 (2003).</w:t>
      </w:r>
    </w:p>
    <w:p w14:paraId="343C041B" w14:textId="77777777" w:rsidR="00086EAE" w:rsidRPr="00E25502" w:rsidRDefault="00086EAE" w:rsidP="00E25502">
      <w:pPr>
        <w:pStyle w:val="PSlhteet"/>
      </w:pPr>
      <w:r w:rsidRPr="00E25502">
        <w:t xml:space="preserve">Lim, S., </w:t>
      </w:r>
      <w:proofErr w:type="spellStart"/>
      <w:r w:rsidRPr="00E25502">
        <w:t>Matolcsy</w:t>
      </w:r>
      <w:proofErr w:type="spellEnd"/>
      <w:r w:rsidRPr="00E25502">
        <w:t>, Z. and Chow, D. (2007), ‘The Association between Board Composition</w:t>
      </w:r>
      <w:r w:rsidRPr="00E25502">
        <w:rPr>
          <w:rFonts w:eastAsia="Cambria"/>
        </w:rPr>
        <w:t xml:space="preserve"> </w:t>
      </w:r>
      <w:r w:rsidRPr="00E25502">
        <w:t xml:space="preserve">and Different Types of Voluntary Disclosure’, </w:t>
      </w:r>
      <w:r w:rsidRPr="00E25502">
        <w:rPr>
          <w:i/>
        </w:rPr>
        <w:t>European Accounting Review</w:t>
      </w:r>
      <w:r w:rsidRPr="00E25502">
        <w:t>, Volume 16,</w:t>
      </w:r>
      <w:r w:rsidRPr="00E25502">
        <w:rPr>
          <w:rFonts w:eastAsia="Cambria"/>
        </w:rPr>
        <w:t xml:space="preserve"> </w:t>
      </w:r>
      <w:r w:rsidRPr="00E25502">
        <w:t>No. 3, page 555-583.</w:t>
      </w:r>
    </w:p>
    <w:p w14:paraId="7D764DBB" w14:textId="77777777" w:rsidR="00086EAE" w:rsidRPr="00E25502" w:rsidRDefault="00086EAE" w:rsidP="00E25502">
      <w:pPr>
        <w:pStyle w:val="PSlhteet"/>
        <w:rPr>
          <w:spacing w:val="-4"/>
        </w:rPr>
      </w:pPr>
      <w:r w:rsidRPr="00E25502">
        <w:rPr>
          <w:rFonts w:eastAsia="Cambria"/>
        </w:rPr>
        <w:t xml:space="preserve">Lindenberg, E.B. and Ross, S.A. (1981), Tobin’s Q Ratio and Industrial Organization, </w:t>
      </w:r>
      <w:r w:rsidRPr="00E25502">
        <w:rPr>
          <w:rFonts w:eastAsia="Cambria"/>
          <w:i/>
        </w:rPr>
        <w:t>Journal of Business</w:t>
      </w:r>
      <w:r w:rsidRPr="00E25502">
        <w:rPr>
          <w:rFonts w:eastAsia="Cambria"/>
        </w:rPr>
        <w:t>, 54, page 1-33</w:t>
      </w:r>
      <w:r w:rsidRPr="00E25502">
        <w:rPr>
          <w:spacing w:val="-4"/>
        </w:rPr>
        <w:t>.</w:t>
      </w:r>
    </w:p>
    <w:p w14:paraId="5B0EB9AB" w14:textId="77777777" w:rsidR="00086EAE" w:rsidRPr="00E25502" w:rsidRDefault="00086EAE" w:rsidP="00E25502">
      <w:pPr>
        <w:pStyle w:val="PSlhteet"/>
      </w:pPr>
      <w:r w:rsidRPr="00E25502">
        <w:t xml:space="preserve">Macey, J. R., and O’Hara, M. (2003), The corporate governance of banks, FRBNY, </w:t>
      </w:r>
      <w:r w:rsidRPr="00E25502">
        <w:rPr>
          <w:i/>
        </w:rPr>
        <w:t>Economic Policy Review</w:t>
      </w:r>
      <w:r w:rsidRPr="00E25502">
        <w:t>, 9, 91-107.</w:t>
      </w:r>
    </w:p>
    <w:p w14:paraId="5EF5BB79" w14:textId="77777777" w:rsidR="00086EAE" w:rsidRPr="00E25502" w:rsidRDefault="00086EAE" w:rsidP="00E25502">
      <w:pPr>
        <w:pStyle w:val="PSlhteet"/>
      </w:pPr>
      <w:proofErr w:type="spellStart"/>
      <w:r w:rsidRPr="00E25502">
        <w:t>Mallin</w:t>
      </w:r>
      <w:proofErr w:type="spellEnd"/>
      <w:r w:rsidRPr="00E25502">
        <w:t xml:space="preserve">, C. A. (2006), </w:t>
      </w:r>
      <w:r w:rsidRPr="00E25502">
        <w:rPr>
          <w:i/>
          <w:iCs/>
        </w:rPr>
        <w:t>Handbook on International Corporate Governance</w:t>
      </w:r>
      <w:r w:rsidRPr="00E25502">
        <w:t>, Edward Elgar Publishing, Cheltenham, UK.</w:t>
      </w:r>
    </w:p>
    <w:p w14:paraId="1425EF72" w14:textId="77777777" w:rsidR="00086EAE" w:rsidRPr="00E25502" w:rsidRDefault="00086EAE" w:rsidP="00E25502">
      <w:pPr>
        <w:pStyle w:val="PSlhteet"/>
      </w:pPr>
      <w:r w:rsidRPr="00E25502">
        <w:t xml:space="preserve">Mangena, M. and </w:t>
      </w:r>
      <w:proofErr w:type="spellStart"/>
      <w:r w:rsidRPr="00E25502">
        <w:t>Chamisa</w:t>
      </w:r>
      <w:proofErr w:type="spellEnd"/>
      <w:r w:rsidRPr="00E25502">
        <w:t>, E. (2008), ‘Corporate Governance and Incidences of Listings</w:t>
      </w:r>
      <w:r w:rsidRPr="00E25502">
        <w:rPr>
          <w:rFonts w:eastAsia="Cambria"/>
        </w:rPr>
        <w:t xml:space="preserve"> </w:t>
      </w:r>
      <w:r w:rsidRPr="00E25502">
        <w:t xml:space="preserve">Suspension by the JSE Securities Exchange of South Africa: An Empirical Analysis’, The </w:t>
      </w:r>
      <w:r w:rsidRPr="00E25502">
        <w:rPr>
          <w:i/>
        </w:rPr>
        <w:t>International Journal of Accounting</w:t>
      </w:r>
      <w:r w:rsidRPr="00E25502">
        <w:t>, Volume 43, page 28-44.</w:t>
      </w:r>
    </w:p>
    <w:p w14:paraId="0E5F9DC4" w14:textId="77777777" w:rsidR="00086EAE" w:rsidRPr="00E25502" w:rsidRDefault="00086EAE" w:rsidP="00E25502">
      <w:pPr>
        <w:pStyle w:val="PSlhteet"/>
        <w:rPr>
          <w:rFonts w:eastAsia="Cambria"/>
        </w:rPr>
      </w:pPr>
      <w:r w:rsidRPr="00E25502">
        <w:rPr>
          <w:rFonts w:eastAsia="Cambria"/>
        </w:rPr>
        <w:t xml:space="preserve">Menon, K., and J.D. Williams. (1994), The use of audit committees for monitoring. </w:t>
      </w:r>
      <w:r w:rsidRPr="00E25502">
        <w:rPr>
          <w:rFonts w:eastAsia="Cambria"/>
          <w:i/>
        </w:rPr>
        <w:t>Journal of Accounting and Public Policy</w:t>
      </w:r>
      <w:r w:rsidRPr="00E25502">
        <w:rPr>
          <w:rFonts w:eastAsia="Cambria"/>
        </w:rPr>
        <w:t>, 13, 121-139.</w:t>
      </w:r>
    </w:p>
    <w:p w14:paraId="05342845" w14:textId="77777777" w:rsidR="00086EAE" w:rsidRPr="00E25502" w:rsidRDefault="00086EAE" w:rsidP="00E25502">
      <w:pPr>
        <w:pStyle w:val="PSlhteet"/>
        <w:rPr>
          <w:rFonts w:eastAsia="Cambria"/>
        </w:rPr>
      </w:pPr>
      <w:r w:rsidRPr="00E25502">
        <w:rPr>
          <w:rFonts w:eastAsia="Cambria"/>
        </w:rPr>
        <w:t xml:space="preserve">Mintah, A.P. (2016), </w:t>
      </w:r>
      <w:r w:rsidRPr="00E25502">
        <w:rPr>
          <w:rFonts w:eastAsia="Cambria"/>
          <w:bCs/>
        </w:rPr>
        <w:t>Remuneration committee governance and firm performance in UK financial firms</w:t>
      </w:r>
      <w:r w:rsidRPr="00E25502">
        <w:rPr>
          <w:rFonts w:eastAsia="Cambria"/>
        </w:rPr>
        <w:t xml:space="preserve">; </w:t>
      </w:r>
      <w:r w:rsidRPr="00E25502">
        <w:rPr>
          <w:rFonts w:eastAsia="Cambria"/>
          <w:i/>
        </w:rPr>
        <w:t>Investment Management and Financial Innovation Journal</w:t>
      </w:r>
      <w:r w:rsidRPr="00E25502">
        <w:rPr>
          <w:rFonts w:eastAsia="Cambria"/>
        </w:rPr>
        <w:t>, Volume 13, Issue 1, 2016.</w:t>
      </w:r>
    </w:p>
    <w:p w14:paraId="3CF99E28" w14:textId="77777777" w:rsidR="00086EAE" w:rsidRPr="00E25502" w:rsidRDefault="00086EAE" w:rsidP="00E25502">
      <w:pPr>
        <w:pStyle w:val="PSlhteet"/>
      </w:pPr>
      <w:r w:rsidRPr="00E25502">
        <w:t xml:space="preserve">Mintah, A. P. (2015), The Nomination Committee and Firm Performance; An Empirical Investigation of UK Financial Institutions during the pre/post financial crisis, </w:t>
      </w:r>
      <w:r w:rsidRPr="00E25502">
        <w:rPr>
          <w:i/>
        </w:rPr>
        <w:t>Corporate Board; Role, Duties &amp; Compositions</w:t>
      </w:r>
      <w:r w:rsidRPr="00E25502">
        <w:t>, Volume 11, Issue 3, 2015.</w:t>
      </w:r>
    </w:p>
    <w:p w14:paraId="4F353C1F" w14:textId="77777777" w:rsidR="00086EAE" w:rsidRPr="00E25502" w:rsidRDefault="00086EAE" w:rsidP="00E25502">
      <w:pPr>
        <w:pStyle w:val="PSlhteet"/>
      </w:pPr>
      <w:proofErr w:type="spellStart"/>
      <w:r w:rsidRPr="00E25502">
        <w:t>Mizen</w:t>
      </w:r>
      <w:proofErr w:type="spellEnd"/>
      <w:r w:rsidRPr="00E25502">
        <w:t xml:space="preserve">, P. (2008), The Credit Crunch of 2007-2008; A Discussion of the Background, Market Reactions and Policy Responses, </w:t>
      </w:r>
      <w:r w:rsidRPr="00E25502">
        <w:rPr>
          <w:i/>
        </w:rPr>
        <w:t>Federal Reserve Bank of St. Louis Review</w:t>
      </w:r>
      <w:r w:rsidRPr="00E25502">
        <w:t>, page 531-67.</w:t>
      </w:r>
    </w:p>
    <w:p w14:paraId="48505810" w14:textId="77777777" w:rsidR="00086EAE" w:rsidRPr="00E25502" w:rsidRDefault="00086EAE" w:rsidP="00E25502">
      <w:pPr>
        <w:pStyle w:val="PSlhteet"/>
      </w:pPr>
      <w:proofErr w:type="spellStart"/>
      <w:r w:rsidRPr="00E25502">
        <w:t>Munisi</w:t>
      </w:r>
      <w:proofErr w:type="spellEnd"/>
      <w:r w:rsidRPr="00E25502">
        <w:t xml:space="preserve">, G. and </w:t>
      </w:r>
      <w:proofErr w:type="spellStart"/>
      <w:r w:rsidRPr="00E25502">
        <w:t>Randøy</w:t>
      </w:r>
      <w:proofErr w:type="spellEnd"/>
      <w:r w:rsidRPr="00E25502">
        <w:t xml:space="preserve">, T. (2013), Corporate governance and company performance across Sub-Sahara African countries, </w:t>
      </w:r>
      <w:r w:rsidRPr="00E25502">
        <w:rPr>
          <w:i/>
        </w:rPr>
        <w:t>Journal of Economics</w:t>
      </w:r>
      <w:r w:rsidRPr="00E25502">
        <w:t xml:space="preserve"> </w:t>
      </w:r>
      <w:r w:rsidRPr="00E25502">
        <w:rPr>
          <w:i/>
        </w:rPr>
        <w:t>and Business,</w:t>
      </w:r>
      <w:r w:rsidRPr="00E25502">
        <w:t xml:space="preserve"> 70 (2013) 92– 110.</w:t>
      </w:r>
    </w:p>
    <w:p w14:paraId="4D4F3FBE" w14:textId="77777777" w:rsidR="00086EAE" w:rsidRPr="00E25502" w:rsidRDefault="00086EAE" w:rsidP="00E25502">
      <w:pPr>
        <w:pStyle w:val="PSlhteet"/>
      </w:pPr>
      <w:proofErr w:type="spellStart"/>
      <w:r w:rsidRPr="00E25502">
        <w:t>Myners</w:t>
      </w:r>
      <w:proofErr w:type="spellEnd"/>
      <w:r w:rsidRPr="00E25502">
        <w:t xml:space="preserve">, P. (2001), </w:t>
      </w:r>
      <w:proofErr w:type="spellStart"/>
      <w:r w:rsidRPr="00E25502">
        <w:rPr>
          <w:iCs/>
        </w:rPr>
        <w:t>Myners</w:t>
      </w:r>
      <w:proofErr w:type="spellEnd"/>
      <w:r w:rsidRPr="00E25502">
        <w:rPr>
          <w:iCs/>
        </w:rPr>
        <w:t xml:space="preserve"> Report on Institutional Investment</w:t>
      </w:r>
      <w:r w:rsidRPr="00E25502">
        <w:t>. London: HM Treasury, 2008.</w:t>
      </w:r>
    </w:p>
    <w:p w14:paraId="744D455F" w14:textId="77777777" w:rsidR="00086EAE" w:rsidRPr="00E25502" w:rsidRDefault="00086EAE" w:rsidP="00E25502">
      <w:pPr>
        <w:pStyle w:val="PSlhteet"/>
      </w:pPr>
      <w:r w:rsidRPr="00E25502">
        <w:t xml:space="preserve">Ntim G. C.; Opong, K.K.; and Danbolt, J., (2015), Board size, corporate regulations and firm valuation in an emerging market: a simultaneous equation approach, </w:t>
      </w:r>
      <w:r w:rsidRPr="00E25502">
        <w:rPr>
          <w:i/>
        </w:rPr>
        <w:t>International Review of Applied Economics</w:t>
      </w:r>
      <w:r w:rsidRPr="00E25502">
        <w:t>, 2015; Volume 29, No. 2, page 194-220.</w:t>
      </w:r>
    </w:p>
    <w:p w14:paraId="530A9FD6" w14:textId="77777777" w:rsidR="00086EAE" w:rsidRPr="00E25502" w:rsidRDefault="00086EAE" w:rsidP="00E25502">
      <w:pPr>
        <w:pStyle w:val="PSlhteet"/>
      </w:pPr>
      <w:proofErr w:type="spellStart"/>
      <w:r w:rsidRPr="00E25502">
        <w:lastRenderedPageBreak/>
        <w:t>Ntim</w:t>
      </w:r>
      <w:proofErr w:type="spellEnd"/>
      <w:r w:rsidRPr="00E25502">
        <w:t xml:space="preserve">, G. C. (2013), </w:t>
      </w:r>
      <w:hyperlink r:id="rId16" w:history="1">
        <w:r w:rsidRPr="00E25502">
          <w:t>Corporate ownership and market valuation in South Africa: uncovering the effects of shareholdings by different groups of corporate insiders and outsiders</w:t>
        </w:r>
      </w:hyperlink>
      <w:r w:rsidRPr="00E25502">
        <w:t xml:space="preserve">, </w:t>
      </w:r>
      <w:r w:rsidRPr="00E25502">
        <w:rPr>
          <w:i/>
        </w:rPr>
        <w:t>International Journal of Business Governance and Ethics</w:t>
      </w:r>
      <w:r w:rsidRPr="00E25502">
        <w:t>, 2013 Volume 8, No.3, page 242 – 264.</w:t>
      </w:r>
    </w:p>
    <w:p w14:paraId="59A2AAC2" w14:textId="77777777" w:rsidR="00086EAE" w:rsidRPr="00E25502" w:rsidRDefault="00086EAE" w:rsidP="00E25502">
      <w:pPr>
        <w:pStyle w:val="PSlhteet"/>
        <w:rPr>
          <w:rFonts w:eastAsia="Cambria"/>
        </w:rPr>
      </w:pPr>
      <w:proofErr w:type="spellStart"/>
      <w:r w:rsidRPr="00E25502">
        <w:rPr>
          <w:rFonts w:eastAsia="Cambria"/>
        </w:rPr>
        <w:t>Ntim</w:t>
      </w:r>
      <w:proofErr w:type="spellEnd"/>
      <w:r w:rsidRPr="00E25502">
        <w:rPr>
          <w:rFonts w:eastAsia="Cambria"/>
        </w:rPr>
        <w:t xml:space="preserve">, G. C. </w:t>
      </w:r>
      <w:proofErr w:type="spellStart"/>
      <w:r w:rsidRPr="00E25502">
        <w:rPr>
          <w:rFonts w:eastAsia="Cambria"/>
        </w:rPr>
        <w:t>Lindop</w:t>
      </w:r>
      <w:proofErr w:type="spellEnd"/>
      <w:r w:rsidRPr="00E25502">
        <w:rPr>
          <w:rFonts w:eastAsia="Cambria"/>
        </w:rPr>
        <w:t xml:space="preserve">, S. and Thomas, D.A. (2013), Corporate governance and risk reporting in South Africa: A study of corporate risk disclosures in the pre- and post-2007/2008 global financial crisis periods. </w:t>
      </w:r>
      <w:r w:rsidRPr="00E25502">
        <w:rPr>
          <w:rFonts w:eastAsia="Cambria"/>
          <w:i/>
        </w:rPr>
        <w:t>International Review of Financial Analysts</w:t>
      </w:r>
      <w:r w:rsidRPr="00E25502">
        <w:rPr>
          <w:rFonts w:eastAsia="Cambria"/>
        </w:rPr>
        <w:t xml:space="preserve"> 30 (2013) 363-383.</w:t>
      </w:r>
    </w:p>
    <w:p w14:paraId="507DC265" w14:textId="77777777" w:rsidR="00086EAE" w:rsidRPr="00E25502" w:rsidRDefault="00086EAE" w:rsidP="00E25502">
      <w:pPr>
        <w:pStyle w:val="PSlhteet"/>
      </w:pPr>
      <w:r w:rsidRPr="00E25502">
        <w:t>OECD (2009), OECD Principles of Corporate Governance, Organisation for Economic Co-operation and Development, (OECD) Paris, France.</w:t>
      </w:r>
    </w:p>
    <w:p w14:paraId="03978871" w14:textId="77777777" w:rsidR="00086EAE" w:rsidRPr="00E25502" w:rsidRDefault="00086EAE" w:rsidP="00E25502">
      <w:pPr>
        <w:pStyle w:val="PSlhteet"/>
      </w:pPr>
      <w:r w:rsidRPr="00E25502">
        <w:t>Smith, R. (2003), Audit Committees Combined Code Guidance, Financial Reporting Council, London.</w:t>
      </w:r>
    </w:p>
    <w:p w14:paraId="675A122B" w14:textId="77777777" w:rsidR="00086EAE" w:rsidRPr="00E25502" w:rsidRDefault="00086EAE" w:rsidP="00E25502">
      <w:pPr>
        <w:pStyle w:val="PSlhteet"/>
      </w:pPr>
      <w:r w:rsidRPr="00E25502">
        <w:rPr>
          <w:rFonts w:eastAsia="Cambria"/>
        </w:rPr>
        <w:t>Turnbull, N. (1999), Internal Control: Guidance for Directors on the Combined Code, Institute of Chartered Accountants in England and Wales, London, (ICAEW).</w:t>
      </w:r>
    </w:p>
    <w:p w14:paraId="0577E187" w14:textId="77777777" w:rsidR="00086EAE" w:rsidRPr="00E25502" w:rsidRDefault="00086EAE" w:rsidP="00E25502">
      <w:pPr>
        <w:pStyle w:val="PSlhteet"/>
      </w:pPr>
      <w:r w:rsidRPr="00E25502">
        <w:rPr>
          <w:rFonts w:eastAsia="Cambria"/>
        </w:rPr>
        <w:t>Turnbull, N. (2005), Internal Control: Guidance for Directors on the Combined Code, Institute of Chartered Accountants in England and Wales, London, (ICAEW).</w:t>
      </w:r>
    </w:p>
    <w:p w14:paraId="6313ACB7" w14:textId="77777777" w:rsidR="00086EAE" w:rsidRPr="00E25502" w:rsidRDefault="00086EAE" w:rsidP="00E25502">
      <w:pPr>
        <w:pStyle w:val="PSlhteet"/>
      </w:pPr>
      <w:r w:rsidRPr="00E25502">
        <w:t xml:space="preserve">Turner Review (2009), </w:t>
      </w:r>
      <w:r w:rsidRPr="00E25502">
        <w:rPr>
          <w:i/>
          <w:iCs/>
        </w:rPr>
        <w:t>A Regulatory Response to the Global Banking Crisis</w:t>
      </w:r>
      <w:r w:rsidRPr="00E25502">
        <w:t>, Financial Services Authority, London, UK.</w:t>
      </w:r>
    </w:p>
    <w:p w14:paraId="04D5DCEC" w14:textId="77777777" w:rsidR="00086EAE" w:rsidRPr="00E25502" w:rsidRDefault="00086EAE" w:rsidP="00E25502">
      <w:pPr>
        <w:pStyle w:val="PSlhteet"/>
        <w:rPr>
          <w:rFonts w:eastAsia="Cambria"/>
          <w:bCs/>
          <w:lang w:val="en-US"/>
        </w:rPr>
      </w:pPr>
      <w:r w:rsidRPr="00E25502">
        <w:t>Tyson, L (2003), The Tyson Report on the Recruitment and Development of Non-Executive Directors. London: London Business School.</w:t>
      </w:r>
    </w:p>
    <w:p w14:paraId="1B89078E" w14:textId="77777777" w:rsidR="00086EAE" w:rsidRPr="00E25502" w:rsidRDefault="00086EAE" w:rsidP="00E25502">
      <w:pPr>
        <w:pStyle w:val="PSlhteet"/>
      </w:pPr>
      <w:r w:rsidRPr="00E25502">
        <w:rPr>
          <w:rFonts w:eastAsia="Cambria"/>
        </w:rPr>
        <w:t xml:space="preserve">Van der Zahn, M. and G. Tower, (2004), Audit committee features and earnings management: further evidence from Singapore, </w:t>
      </w:r>
      <w:r w:rsidRPr="00E25502">
        <w:rPr>
          <w:rFonts w:eastAsia="Cambria"/>
          <w:i/>
        </w:rPr>
        <w:t>International Journal of Business Governance and Ethics</w:t>
      </w:r>
      <w:r w:rsidRPr="00E25502">
        <w:rPr>
          <w:rFonts w:eastAsia="Cambria"/>
        </w:rPr>
        <w:t xml:space="preserve"> 1, 233-257.</w:t>
      </w:r>
    </w:p>
    <w:p w14:paraId="72F38070" w14:textId="77777777" w:rsidR="00086EAE" w:rsidRPr="00E25502" w:rsidRDefault="00086EAE" w:rsidP="00E25502">
      <w:pPr>
        <w:pStyle w:val="PSlhteet"/>
      </w:pPr>
      <w:r w:rsidRPr="00E25502">
        <w:t xml:space="preserve">Van Lent, L. (2007), ‘Endogeneity in Management Accounting Research: A Comment’, </w:t>
      </w:r>
      <w:r w:rsidRPr="00E25502">
        <w:rPr>
          <w:i/>
          <w:iCs/>
        </w:rPr>
        <w:t>European Accounting Review</w:t>
      </w:r>
      <w:r w:rsidRPr="00E25502">
        <w:t>, Volume 16, No. 1, page 197-205.</w:t>
      </w:r>
    </w:p>
    <w:p w14:paraId="02934F30" w14:textId="77777777" w:rsidR="00086EAE" w:rsidRPr="00E25502" w:rsidRDefault="00086EAE" w:rsidP="00E25502">
      <w:pPr>
        <w:pStyle w:val="PSlhteet"/>
        <w:rPr>
          <w:rFonts w:eastAsia="Cambria"/>
        </w:rPr>
      </w:pPr>
      <w:r w:rsidRPr="00E25502">
        <w:rPr>
          <w:rFonts w:eastAsia="Cambria"/>
        </w:rPr>
        <w:t xml:space="preserve">Vefeas, N.  </w:t>
      </w:r>
      <w:r w:rsidRPr="00E25502">
        <w:t xml:space="preserve">and </w:t>
      </w:r>
      <w:r w:rsidRPr="00E25502">
        <w:rPr>
          <w:rFonts w:eastAsia="Cambria"/>
        </w:rPr>
        <w:t xml:space="preserve">Theodorous, E. (1998), The relationship between board structure and firm performance in the UK. </w:t>
      </w:r>
      <w:r w:rsidRPr="00E25502">
        <w:rPr>
          <w:rFonts w:eastAsia="Cambria"/>
          <w:i/>
        </w:rPr>
        <w:t>British Accounting Review</w:t>
      </w:r>
      <w:r w:rsidRPr="00E25502">
        <w:rPr>
          <w:rFonts w:eastAsia="Cambria"/>
        </w:rPr>
        <w:t>, 30(4), 383-407.</w:t>
      </w:r>
    </w:p>
    <w:p w14:paraId="685199B6" w14:textId="77777777" w:rsidR="00086EAE" w:rsidRPr="00E25502" w:rsidRDefault="00086EAE" w:rsidP="00E25502">
      <w:pPr>
        <w:pStyle w:val="PSlhteet"/>
      </w:pPr>
      <w:r w:rsidRPr="00E25502">
        <w:rPr>
          <w:rFonts w:eastAsia="Cambria"/>
        </w:rPr>
        <w:t>Walker Review (2009), A Review of Corporate Governance in UK Banks and Other Financial Industry entities, HM Treasury, London, UK.</w:t>
      </w:r>
    </w:p>
    <w:p w14:paraId="1D82BA95" w14:textId="77777777" w:rsidR="00086EAE" w:rsidRPr="00E25502" w:rsidRDefault="00086EAE" w:rsidP="00E25502">
      <w:pPr>
        <w:pStyle w:val="PSlhteet"/>
      </w:pPr>
      <w:r w:rsidRPr="00E25502">
        <w:rPr>
          <w:rFonts w:eastAsia="Cambria"/>
        </w:rPr>
        <w:t>Wild, J. J. (1994), ‘Managerial Accountability to Shareholders: Audit Committees and the</w:t>
      </w:r>
      <w:r w:rsidRPr="00E25502">
        <w:rPr>
          <w:rFonts w:eastAsia="Cambria"/>
          <w:b/>
          <w:i/>
          <w:iCs/>
        </w:rPr>
        <w:t xml:space="preserve"> </w:t>
      </w:r>
      <w:r w:rsidRPr="00E25502">
        <w:rPr>
          <w:rFonts w:eastAsia="Cambria"/>
        </w:rPr>
        <w:t xml:space="preserve">Explanatory Power of Earnings for Returns’, </w:t>
      </w:r>
      <w:r w:rsidRPr="00E25502">
        <w:rPr>
          <w:rFonts w:eastAsia="Cambria"/>
          <w:i/>
          <w:iCs/>
        </w:rPr>
        <w:t>British Accounting Review</w:t>
      </w:r>
      <w:r w:rsidRPr="00E25502">
        <w:rPr>
          <w:rFonts w:eastAsia="Cambria"/>
        </w:rPr>
        <w:t>, Volume 26, page 353-374.</w:t>
      </w:r>
    </w:p>
    <w:p w14:paraId="3B3C99FB" w14:textId="77777777" w:rsidR="00086EAE" w:rsidRPr="00E25502" w:rsidRDefault="00086EAE" w:rsidP="00E25502">
      <w:pPr>
        <w:pStyle w:val="PSlhteet"/>
      </w:pPr>
      <w:proofErr w:type="spellStart"/>
      <w:r w:rsidRPr="00E25502">
        <w:rPr>
          <w:rFonts w:eastAsia="Cambria"/>
        </w:rPr>
        <w:t>Yermack</w:t>
      </w:r>
      <w:proofErr w:type="spellEnd"/>
      <w:r w:rsidRPr="00E25502">
        <w:rPr>
          <w:rFonts w:eastAsia="Cambria"/>
        </w:rPr>
        <w:t>, D. (1996), ‘Higher Market Valuation of Companies with a Small Board of</w:t>
      </w:r>
      <w:r w:rsidRPr="00E25502">
        <w:rPr>
          <w:rFonts w:eastAsia="Cambria"/>
          <w:b/>
          <w:i/>
          <w:iCs/>
        </w:rPr>
        <w:t xml:space="preserve"> </w:t>
      </w:r>
      <w:r w:rsidRPr="00E25502">
        <w:rPr>
          <w:rFonts w:eastAsia="Cambria"/>
        </w:rPr>
        <w:t xml:space="preserve">Directors’, </w:t>
      </w:r>
      <w:r w:rsidRPr="00E25502">
        <w:rPr>
          <w:rFonts w:eastAsia="Cambria"/>
          <w:i/>
          <w:iCs/>
        </w:rPr>
        <w:t xml:space="preserve">Journal of Financial Economics, </w:t>
      </w:r>
      <w:r w:rsidRPr="00E25502">
        <w:rPr>
          <w:rFonts w:eastAsia="Cambria"/>
        </w:rPr>
        <w:t>Volume 40, page 185-211.</w:t>
      </w:r>
    </w:p>
    <w:p w14:paraId="1EEC0056" w14:textId="77777777" w:rsidR="00086EAE" w:rsidRPr="00E25502" w:rsidRDefault="00086EAE" w:rsidP="00E25502">
      <w:pPr>
        <w:pStyle w:val="PSlhteet"/>
      </w:pPr>
      <w:proofErr w:type="spellStart"/>
      <w:r w:rsidRPr="00E25502">
        <w:t>Zagorchev</w:t>
      </w:r>
      <w:proofErr w:type="spellEnd"/>
      <w:r w:rsidRPr="00E25502">
        <w:t xml:space="preserve">, A. and Gao L. (2015), Corporate governance and performance of financial institutions, </w:t>
      </w:r>
      <w:r w:rsidRPr="00E25502">
        <w:rPr>
          <w:i/>
        </w:rPr>
        <w:t>Journal of Economics and Business.</w:t>
      </w:r>
    </w:p>
    <w:p w14:paraId="5ED5A806" w14:textId="77777777" w:rsidR="00086EAE" w:rsidRPr="00E25502" w:rsidRDefault="00086EAE" w:rsidP="00E25502">
      <w:pPr>
        <w:pStyle w:val="PSlhteet"/>
      </w:pPr>
      <w:proofErr w:type="spellStart"/>
      <w:r w:rsidRPr="00E25502">
        <w:lastRenderedPageBreak/>
        <w:t>Zha</w:t>
      </w:r>
      <w:proofErr w:type="spellEnd"/>
      <w:r w:rsidRPr="00E25502">
        <w:t xml:space="preserve">, H. (2006), 'The Auditing Committee and Earnings Quality: Empirical Evidence from Chinese Securities Market (Chinese Version)'. </w:t>
      </w:r>
      <w:r w:rsidRPr="00E25502">
        <w:rPr>
          <w:i/>
          <w:iCs/>
        </w:rPr>
        <w:t>Auditing Research</w:t>
      </w:r>
      <w:r w:rsidRPr="00E25502">
        <w:t>, 6:50-57</w:t>
      </w:r>
    </w:p>
    <w:p w14:paraId="459BE4A4" w14:textId="77777777" w:rsidR="00086EAE" w:rsidRPr="0054344B" w:rsidRDefault="00086EAE" w:rsidP="00130435">
      <w:pPr>
        <w:autoSpaceDE w:val="0"/>
        <w:autoSpaceDN w:val="0"/>
        <w:adjustRightInd w:val="0"/>
        <w:jc w:val="both"/>
        <w:rPr>
          <w:b/>
          <w:sz w:val="28"/>
          <w:szCs w:val="28"/>
        </w:rPr>
      </w:pPr>
    </w:p>
    <w:p w14:paraId="1FFE5B93" w14:textId="77777777" w:rsidR="00086EAE" w:rsidRPr="0054344B" w:rsidRDefault="00086EAE" w:rsidP="00E25502">
      <w:pPr>
        <w:pStyle w:val="Heading1"/>
        <w:numPr>
          <w:ilvl w:val="0"/>
          <w:numId w:val="0"/>
        </w:numPr>
        <w:rPr>
          <w:lang w:val="en"/>
        </w:rPr>
      </w:pPr>
      <w:r w:rsidRPr="0054344B">
        <w:rPr>
          <w:lang w:val="en"/>
        </w:rPr>
        <w:t>Appendix</w:t>
      </w:r>
    </w:p>
    <w:p w14:paraId="0C1717C3" w14:textId="77777777" w:rsidR="00086EAE" w:rsidRPr="0054344B" w:rsidRDefault="00654199" w:rsidP="00130435">
      <w:pPr>
        <w:jc w:val="both"/>
      </w:pPr>
      <w:r w:rsidRPr="0054344B">
        <w:t xml:space="preserve">A </w:t>
      </w:r>
      <w:r w:rsidR="00086EAE" w:rsidRPr="0054344B">
        <w:t xml:space="preserve">breakdown of the firms used and other descriptions can be seen in </w:t>
      </w:r>
      <w:r w:rsidRPr="0054344B">
        <w:t>T</w:t>
      </w:r>
      <w:r w:rsidR="00086EAE" w:rsidRPr="0054344B">
        <w:t>able 1.</w:t>
      </w:r>
    </w:p>
    <w:p w14:paraId="6CF75C4B" w14:textId="77777777" w:rsidR="00086EAE" w:rsidRPr="0054344B" w:rsidRDefault="00086EAE" w:rsidP="00130435">
      <w:pPr>
        <w:tabs>
          <w:tab w:val="left" w:pos="5103"/>
        </w:tabs>
        <w:rPr>
          <w:b/>
        </w:rPr>
      </w:pPr>
      <w:r w:rsidRPr="0054344B">
        <w:rPr>
          <w:b/>
        </w:rPr>
        <w:t>Table 1: Classification and Representation of Variables</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90"/>
        <w:gridCol w:w="1927"/>
        <w:gridCol w:w="1455"/>
        <w:gridCol w:w="1227"/>
      </w:tblGrid>
      <w:tr w:rsidR="00086EAE" w:rsidRPr="0054344B" w14:paraId="5AFF81ED" w14:textId="77777777" w:rsidTr="00E25502">
        <w:trPr>
          <w:gridAfter w:val="2"/>
          <w:wAfter w:w="2682" w:type="dxa"/>
          <w:trHeight w:val="57"/>
          <w:jc w:val="center"/>
        </w:trPr>
        <w:tc>
          <w:tcPr>
            <w:tcW w:w="1915" w:type="dxa"/>
            <w:shd w:val="clear" w:color="auto" w:fill="auto"/>
          </w:tcPr>
          <w:p w14:paraId="689C9BE2" w14:textId="77777777" w:rsidR="00086EAE" w:rsidRPr="0054344B" w:rsidRDefault="00086EAE" w:rsidP="00130435">
            <w:pPr>
              <w:rPr>
                <w:rFonts w:eastAsia="MS Mincho"/>
                <w:sz w:val="20"/>
                <w:szCs w:val="20"/>
              </w:rPr>
            </w:pPr>
          </w:p>
        </w:tc>
        <w:tc>
          <w:tcPr>
            <w:tcW w:w="1990" w:type="dxa"/>
            <w:shd w:val="clear" w:color="auto" w:fill="auto"/>
          </w:tcPr>
          <w:p w14:paraId="5B152A01" w14:textId="77777777" w:rsidR="00086EAE" w:rsidRPr="0054344B" w:rsidRDefault="00086EAE" w:rsidP="00130435">
            <w:pPr>
              <w:rPr>
                <w:rFonts w:eastAsia="MS Mincho"/>
                <w:b/>
                <w:sz w:val="20"/>
                <w:szCs w:val="20"/>
              </w:rPr>
            </w:pPr>
            <w:r w:rsidRPr="0054344B">
              <w:rPr>
                <w:rFonts w:eastAsia="MS Mincho"/>
                <w:sz w:val="20"/>
                <w:szCs w:val="20"/>
              </w:rPr>
              <w:t xml:space="preserve"> </w:t>
            </w:r>
            <w:r w:rsidRPr="0054344B">
              <w:rPr>
                <w:rFonts w:eastAsia="MS Mincho"/>
                <w:b/>
                <w:sz w:val="20"/>
                <w:szCs w:val="20"/>
              </w:rPr>
              <w:t>Variables</w:t>
            </w:r>
          </w:p>
        </w:tc>
        <w:tc>
          <w:tcPr>
            <w:tcW w:w="1927" w:type="dxa"/>
            <w:shd w:val="clear" w:color="auto" w:fill="auto"/>
          </w:tcPr>
          <w:p w14:paraId="55F960B2" w14:textId="77777777" w:rsidR="00086EAE" w:rsidRPr="0054344B" w:rsidRDefault="00086EAE" w:rsidP="00130435">
            <w:pPr>
              <w:rPr>
                <w:rFonts w:eastAsia="MS Mincho"/>
                <w:b/>
                <w:sz w:val="20"/>
                <w:szCs w:val="20"/>
              </w:rPr>
            </w:pPr>
            <w:r w:rsidRPr="0054344B">
              <w:rPr>
                <w:rFonts w:eastAsia="MS Mincho"/>
                <w:b/>
                <w:sz w:val="20"/>
                <w:szCs w:val="20"/>
              </w:rPr>
              <w:t>Representation</w:t>
            </w:r>
          </w:p>
        </w:tc>
      </w:tr>
      <w:tr w:rsidR="00086EAE" w:rsidRPr="0054344B" w14:paraId="4FA8CE37" w14:textId="77777777" w:rsidTr="00E25502">
        <w:trPr>
          <w:gridAfter w:val="2"/>
          <w:wAfter w:w="2682" w:type="dxa"/>
          <w:trHeight w:val="57"/>
          <w:jc w:val="center"/>
        </w:trPr>
        <w:tc>
          <w:tcPr>
            <w:tcW w:w="1915" w:type="dxa"/>
            <w:shd w:val="clear" w:color="auto" w:fill="auto"/>
          </w:tcPr>
          <w:p w14:paraId="17284534" w14:textId="77777777" w:rsidR="00086EAE" w:rsidRPr="0054344B" w:rsidRDefault="00A23F25" w:rsidP="00130435">
            <w:pPr>
              <w:rPr>
                <w:rFonts w:eastAsia="MS Mincho"/>
                <w:b/>
                <w:sz w:val="20"/>
                <w:szCs w:val="20"/>
              </w:rPr>
            </w:pPr>
            <w:r w:rsidRPr="0054344B">
              <w:rPr>
                <w:rFonts w:eastAsia="MS Mincho"/>
                <w:b/>
                <w:sz w:val="20"/>
                <w:szCs w:val="20"/>
              </w:rPr>
              <w:t>Audit Committee (AC</w:t>
            </w:r>
            <w:r w:rsidR="00086EAE" w:rsidRPr="0054344B">
              <w:rPr>
                <w:rFonts w:eastAsia="MS Mincho"/>
                <w:b/>
                <w:sz w:val="20"/>
                <w:szCs w:val="20"/>
              </w:rPr>
              <w:t>)</w:t>
            </w:r>
          </w:p>
        </w:tc>
        <w:tc>
          <w:tcPr>
            <w:tcW w:w="1990" w:type="dxa"/>
            <w:shd w:val="clear" w:color="auto" w:fill="auto"/>
          </w:tcPr>
          <w:p w14:paraId="7EF3A923" w14:textId="77777777" w:rsidR="00086EAE" w:rsidRPr="0054344B" w:rsidRDefault="00086EAE" w:rsidP="00130435">
            <w:pPr>
              <w:rPr>
                <w:rFonts w:eastAsia="MS Mincho"/>
                <w:sz w:val="20"/>
                <w:szCs w:val="20"/>
              </w:rPr>
            </w:pPr>
            <w:r w:rsidRPr="0054344B">
              <w:rPr>
                <w:rFonts w:eastAsia="MS Mincho"/>
                <w:sz w:val="20"/>
                <w:szCs w:val="20"/>
              </w:rPr>
              <w:t xml:space="preserve">Does exist </w:t>
            </w:r>
          </w:p>
        </w:tc>
        <w:tc>
          <w:tcPr>
            <w:tcW w:w="1927" w:type="dxa"/>
            <w:shd w:val="clear" w:color="auto" w:fill="auto"/>
          </w:tcPr>
          <w:p w14:paraId="64ACAE55" w14:textId="77777777" w:rsidR="00086EAE" w:rsidRPr="0054344B" w:rsidRDefault="00086EAE" w:rsidP="00130435">
            <w:pPr>
              <w:rPr>
                <w:rFonts w:eastAsia="MS Mincho"/>
                <w:sz w:val="20"/>
                <w:szCs w:val="20"/>
              </w:rPr>
            </w:pPr>
            <w:r w:rsidRPr="0054344B">
              <w:rPr>
                <w:rFonts w:eastAsia="MS Mincho"/>
                <w:sz w:val="20"/>
                <w:szCs w:val="20"/>
              </w:rPr>
              <w:t>1</w:t>
            </w:r>
          </w:p>
        </w:tc>
      </w:tr>
      <w:tr w:rsidR="00086EAE" w:rsidRPr="0054344B" w14:paraId="4B124C4C" w14:textId="77777777" w:rsidTr="00E25502">
        <w:trPr>
          <w:gridAfter w:val="2"/>
          <w:wAfter w:w="2682" w:type="dxa"/>
          <w:trHeight w:val="57"/>
          <w:jc w:val="center"/>
        </w:trPr>
        <w:tc>
          <w:tcPr>
            <w:tcW w:w="1915" w:type="dxa"/>
            <w:shd w:val="clear" w:color="auto" w:fill="auto"/>
          </w:tcPr>
          <w:p w14:paraId="19FBFDEF" w14:textId="77777777" w:rsidR="00086EAE" w:rsidRPr="0054344B" w:rsidRDefault="00086EAE" w:rsidP="00130435">
            <w:pPr>
              <w:rPr>
                <w:rFonts w:eastAsia="MS Mincho"/>
                <w:sz w:val="20"/>
                <w:szCs w:val="20"/>
              </w:rPr>
            </w:pPr>
          </w:p>
        </w:tc>
        <w:tc>
          <w:tcPr>
            <w:tcW w:w="1990" w:type="dxa"/>
            <w:shd w:val="clear" w:color="auto" w:fill="auto"/>
          </w:tcPr>
          <w:p w14:paraId="73496727" w14:textId="77777777" w:rsidR="00086EAE" w:rsidRPr="0054344B" w:rsidRDefault="00086EAE" w:rsidP="00130435">
            <w:pPr>
              <w:rPr>
                <w:rFonts w:eastAsia="MS Mincho"/>
                <w:sz w:val="20"/>
                <w:szCs w:val="20"/>
              </w:rPr>
            </w:pPr>
            <w:r w:rsidRPr="0054344B">
              <w:rPr>
                <w:rFonts w:eastAsia="MS Mincho"/>
                <w:sz w:val="20"/>
                <w:szCs w:val="20"/>
              </w:rPr>
              <w:t>Does not exist</w:t>
            </w:r>
          </w:p>
        </w:tc>
        <w:tc>
          <w:tcPr>
            <w:tcW w:w="1927" w:type="dxa"/>
            <w:shd w:val="clear" w:color="auto" w:fill="auto"/>
          </w:tcPr>
          <w:p w14:paraId="62073F3F" w14:textId="77777777" w:rsidR="00086EAE" w:rsidRPr="0054344B" w:rsidRDefault="00086EAE" w:rsidP="00130435">
            <w:pPr>
              <w:rPr>
                <w:rFonts w:eastAsia="MS Mincho"/>
                <w:sz w:val="20"/>
                <w:szCs w:val="20"/>
              </w:rPr>
            </w:pPr>
            <w:r w:rsidRPr="0054344B">
              <w:rPr>
                <w:rFonts w:eastAsia="MS Mincho"/>
                <w:sz w:val="20"/>
                <w:szCs w:val="20"/>
              </w:rPr>
              <w:t>0</w:t>
            </w:r>
          </w:p>
        </w:tc>
      </w:tr>
      <w:tr w:rsidR="00086EAE" w:rsidRPr="0054344B" w14:paraId="6874DE6D" w14:textId="77777777" w:rsidTr="00E25502">
        <w:trPr>
          <w:trHeight w:val="57"/>
          <w:jc w:val="center"/>
        </w:trPr>
        <w:tc>
          <w:tcPr>
            <w:tcW w:w="1915" w:type="dxa"/>
            <w:shd w:val="clear" w:color="auto" w:fill="auto"/>
          </w:tcPr>
          <w:p w14:paraId="1805D57B" w14:textId="77777777" w:rsidR="00086EAE" w:rsidRPr="0054344B" w:rsidRDefault="00086EAE" w:rsidP="00130435">
            <w:pPr>
              <w:rPr>
                <w:rFonts w:eastAsia="MS Mincho"/>
                <w:b/>
                <w:sz w:val="20"/>
                <w:szCs w:val="20"/>
              </w:rPr>
            </w:pPr>
            <w:r w:rsidRPr="0054344B">
              <w:rPr>
                <w:rFonts w:eastAsia="MS Mincho"/>
                <w:b/>
                <w:sz w:val="20"/>
                <w:szCs w:val="20"/>
              </w:rPr>
              <w:t>Industry (IND)</w:t>
            </w:r>
          </w:p>
        </w:tc>
        <w:tc>
          <w:tcPr>
            <w:tcW w:w="1990" w:type="dxa"/>
            <w:shd w:val="clear" w:color="auto" w:fill="auto"/>
          </w:tcPr>
          <w:p w14:paraId="32DB894E" w14:textId="77777777" w:rsidR="00086EAE" w:rsidRPr="0054344B" w:rsidRDefault="00086EAE" w:rsidP="00130435">
            <w:pPr>
              <w:rPr>
                <w:rFonts w:eastAsia="MS Mincho"/>
                <w:b/>
                <w:sz w:val="20"/>
                <w:szCs w:val="20"/>
              </w:rPr>
            </w:pPr>
            <w:r w:rsidRPr="0054344B">
              <w:rPr>
                <w:rFonts w:eastAsia="MS Mincho"/>
                <w:b/>
                <w:sz w:val="20"/>
                <w:szCs w:val="20"/>
              </w:rPr>
              <w:t>List of Financial Institutions</w:t>
            </w:r>
          </w:p>
        </w:tc>
        <w:tc>
          <w:tcPr>
            <w:tcW w:w="1927" w:type="dxa"/>
            <w:shd w:val="clear" w:color="auto" w:fill="auto"/>
          </w:tcPr>
          <w:p w14:paraId="2B2F42F7" w14:textId="77777777" w:rsidR="00086EAE" w:rsidRPr="0054344B" w:rsidRDefault="00086EAE" w:rsidP="00130435">
            <w:pPr>
              <w:rPr>
                <w:rFonts w:eastAsia="MS Mincho"/>
                <w:b/>
                <w:sz w:val="20"/>
                <w:szCs w:val="20"/>
              </w:rPr>
            </w:pPr>
            <w:r w:rsidRPr="0054344B">
              <w:rPr>
                <w:rFonts w:eastAsia="MS Mincho"/>
                <w:b/>
                <w:sz w:val="20"/>
                <w:szCs w:val="20"/>
              </w:rPr>
              <w:t xml:space="preserve"> Representation</w:t>
            </w:r>
          </w:p>
        </w:tc>
        <w:tc>
          <w:tcPr>
            <w:tcW w:w="1455" w:type="dxa"/>
            <w:shd w:val="clear" w:color="auto" w:fill="auto"/>
          </w:tcPr>
          <w:p w14:paraId="4F28B819" w14:textId="77777777" w:rsidR="00086EAE" w:rsidRPr="0054344B" w:rsidRDefault="00086EAE" w:rsidP="00130435">
            <w:pPr>
              <w:rPr>
                <w:rFonts w:eastAsia="MS Mincho"/>
                <w:sz w:val="20"/>
                <w:szCs w:val="20"/>
              </w:rPr>
            </w:pPr>
            <w:r w:rsidRPr="0054344B">
              <w:rPr>
                <w:rFonts w:eastAsia="MS Mincho"/>
                <w:b/>
                <w:sz w:val="20"/>
                <w:szCs w:val="20"/>
              </w:rPr>
              <w:t>Percentage</w:t>
            </w:r>
          </w:p>
        </w:tc>
        <w:tc>
          <w:tcPr>
            <w:tcW w:w="1227" w:type="dxa"/>
            <w:shd w:val="clear" w:color="auto" w:fill="auto"/>
          </w:tcPr>
          <w:p w14:paraId="682B8407" w14:textId="77777777" w:rsidR="00086EAE" w:rsidRPr="0054344B" w:rsidRDefault="00086EAE" w:rsidP="00130435">
            <w:pPr>
              <w:rPr>
                <w:rFonts w:eastAsia="MS Mincho"/>
                <w:sz w:val="20"/>
                <w:szCs w:val="20"/>
              </w:rPr>
            </w:pPr>
            <w:r w:rsidRPr="0054344B">
              <w:rPr>
                <w:rFonts w:eastAsia="MS Mincho"/>
                <w:b/>
                <w:sz w:val="20"/>
                <w:szCs w:val="20"/>
              </w:rPr>
              <w:t>Numbers</w:t>
            </w:r>
          </w:p>
        </w:tc>
      </w:tr>
      <w:tr w:rsidR="00086EAE" w:rsidRPr="0054344B" w14:paraId="53F9641A" w14:textId="77777777" w:rsidTr="00E25502">
        <w:trPr>
          <w:trHeight w:val="57"/>
          <w:jc w:val="center"/>
        </w:trPr>
        <w:tc>
          <w:tcPr>
            <w:tcW w:w="1915" w:type="dxa"/>
            <w:shd w:val="clear" w:color="auto" w:fill="auto"/>
          </w:tcPr>
          <w:p w14:paraId="6685EC4A" w14:textId="77777777" w:rsidR="00086EAE" w:rsidRPr="0054344B" w:rsidRDefault="00086EAE" w:rsidP="00130435">
            <w:pPr>
              <w:rPr>
                <w:rFonts w:eastAsia="MS Mincho"/>
                <w:b/>
                <w:sz w:val="20"/>
                <w:szCs w:val="20"/>
              </w:rPr>
            </w:pPr>
          </w:p>
        </w:tc>
        <w:tc>
          <w:tcPr>
            <w:tcW w:w="1990" w:type="dxa"/>
            <w:shd w:val="clear" w:color="auto" w:fill="auto"/>
          </w:tcPr>
          <w:p w14:paraId="3AC6B3EA" w14:textId="77777777" w:rsidR="00086EAE" w:rsidRPr="0054344B" w:rsidRDefault="00086EAE" w:rsidP="00130435">
            <w:pPr>
              <w:rPr>
                <w:rFonts w:eastAsia="MS Mincho"/>
                <w:sz w:val="20"/>
                <w:szCs w:val="20"/>
              </w:rPr>
            </w:pPr>
            <w:r w:rsidRPr="0054344B">
              <w:rPr>
                <w:rFonts w:eastAsia="MS Mincho"/>
                <w:sz w:val="20"/>
                <w:szCs w:val="20"/>
              </w:rPr>
              <w:t>Investment Banking</w:t>
            </w:r>
          </w:p>
        </w:tc>
        <w:tc>
          <w:tcPr>
            <w:tcW w:w="1927" w:type="dxa"/>
            <w:shd w:val="clear" w:color="auto" w:fill="auto"/>
          </w:tcPr>
          <w:p w14:paraId="73F0FA76" w14:textId="77777777" w:rsidR="00086EAE" w:rsidRPr="0054344B" w:rsidRDefault="00086EAE" w:rsidP="00130435">
            <w:pPr>
              <w:rPr>
                <w:rFonts w:eastAsia="MS Mincho"/>
                <w:sz w:val="20"/>
                <w:szCs w:val="20"/>
              </w:rPr>
            </w:pPr>
            <w:r w:rsidRPr="0054344B">
              <w:rPr>
                <w:rFonts w:eastAsia="MS Mincho"/>
                <w:sz w:val="20"/>
                <w:szCs w:val="20"/>
              </w:rPr>
              <w:t>1</w:t>
            </w:r>
          </w:p>
        </w:tc>
        <w:tc>
          <w:tcPr>
            <w:tcW w:w="1455" w:type="dxa"/>
            <w:shd w:val="clear" w:color="auto" w:fill="auto"/>
          </w:tcPr>
          <w:p w14:paraId="7EC574A1" w14:textId="77777777" w:rsidR="00086EAE" w:rsidRPr="0054344B" w:rsidRDefault="00086EAE" w:rsidP="00130435">
            <w:pPr>
              <w:rPr>
                <w:rFonts w:eastAsia="MS Mincho"/>
                <w:sz w:val="20"/>
                <w:szCs w:val="20"/>
              </w:rPr>
            </w:pPr>
            <w:r w:rsidRPr="0054344B">
              <w:rPr>
                <w:rFonts w:eastAsia="MS Mincho"/>
                <w:sz w:val="20"/>
                <w:szCs w:val="20"/>
              </w:rPr>
              <w:t>29</w:t>
            </w:r>
          </w:p>
        </w:tc>
        <w:tc>
          <w:tcPr>
            <w:tcW w:w="1227" w:type="dxa"/>
            <w:shd w:val="clear" w:color="auto" w:fill="auto"/>
          </w:tcPr>
          <w:p w14:paraId="781836C0" w14:textId="77777777" w:rsidR="00086EAE" w:rsidRPr="0054344B" w:rsidRDefault="00086EAE" w:rsidP="00130435">
            <w:pPr>
              <w:rPr>
                <w:rFonts w:eastAsia="MS Mincho"/>
                <w:sz w:val="20"/>
                <w:szCs w:val="20"/>
              </w:rPr>
            </w:pPr>
            <w:r w:rsidRPr="0054344B">
              <w:rPr>
                <w:rFonts w:eastAsia="MS Mincho"/>
                <w:sz w:val="20"/>
                <w:szCs w:val="20"/>
              </w:rPr>
              <w:t>18</w:t>
            </w:r>
          </w:p>
        </w:tc>
      </w:tr>
      <w:tr w:rsidR="00086EAE" w:rsidRPr="0054344B" w14:paraId="1CB7CE5E" w14:textId="77777777" w:rsidTr="00E25502">
        <w:trPr>
          <w:trHeight w:val="57"/>
          <w:jc w:val="center"/>
        </w:trPr>
        <w:tc>
          <w:tcPr>
            <w:tcW w:w="1915" w:type="dxa"/>
            <w:shd w:val="clear" w:color="auto" w:fill="auto"/>
          </w:tcPr>
          <w:p w14:paraId="21821922" w14:textId="77777777" w:rsidR="00086EAE" w:rsidRPr="0054344B" w:rsidRDefault="00086EAE" w:rsidP="00130435">
            <w:pPr>
              <w:rPr>
                <w:rFonts w:eastAsia="MS Mincho"/>
                <w:b/>
                <w:sz w:val="20"/>
                <w:szCs w:val="20"/>
              </w:rPr>
            </w:pPr>
          </w:p>
        </w:tc>
        <w:tc>
          <w:tcPr>
            <w:tcW w:w="1990" w:type="dxa"/>
            <w:shd w:val="clear" w:color="auto" w:fill="auto"/>
          </w:tcPr>
          <w:p w14:paraId="170ADF1B" w14:textId="77777777" w:rsidR="00086EAE" w:rsidRPr="0054344B" w:rsidRDefault="00086EAE" w:rsidP="00130435">
            <w:pPr>
              <w:rPr>
                <w:rFonts w:eastAsia="MS Mincho"/>
                <w:sz w:val="20"/>
                <w:szCs w:val="20"/>
              </w:rPr>
            </w:pPr>
            <w:r w:rsidRPr="0054344B">
              <w:rPr>
                <w:rFonts w:eastAsia="MS Mincho"/>
                <w:sz w:val="20"/>
                <w:szCs w:val="20"/>
              </w:rPr>
              <w:t>Insurance</w:t>
            </w:r>
          </w:p>
        </w:tc>
        <w:tc>
          <w:tcPr>
            <w:tcW w:w="1927" w:type="dxa"/>
            <w:shd w:val="clear" w:color="auto" w:fill="auto"/>
          </w:tcPr>
          <w:p w14:paraId="171DD9AA" w14:textId="77777777" w:rsidR="00086EAE" w:rsidRPr="0054344B" w:rsidRDefault="00086EAE" w:rsidP="00130435">
            <w:pPr>
              <w:rPr>
                <w:rFonts w:eastAsia="MS Mincho"/>
                <w:sz w:val="20"/>
                <w:szCs w:val="20"/>
              </w:rPr>
            </w:pPr>
            <w:r w:rsidRPr="0054344B">
              <w:rPr>
                <w:rFonts w:eastAsia="MS Mincho"/>
                <w:sz w:val="20"/>
                <w:szCs w:val="20"/>
              </w:rPr>
              <w:t>2</w:t>
            </w:r>
          </w:p>
        </w:tc>
        <w:tc>
          <w:tcPr>
            <w:tcW w:w="1455" w:type="dxa"/>
            <w:shd w:val="clear" w:color="auto" w:fill="auto"/>
          </w:tcPr>
          <w:p w14:paraId="6F3413D7" w14:textId="77777777" w:rsidR="00086EAE" w:rsidRPr="0054344B" w:rsidRDefault="00086EAE" w:rsidP="00130435">
            <w:pPr>
              <w:rPr>
                <w:rFonts w:eastAsia="MS Mincho"/>
                <w:sz w:val="20"/>
                <w:szCs w:val="20"/>
              </w:rPr>
            </w:pPr>
            <w:r w:rsidRPr="0054344B">
              <w:rPr>
                <w:rFonts w:eastAsia="MS Mincho"/>
                <w:sz w:val="20"/>
                <w:szCs w:val="20"/>
              </w:rPr>
              <w:t>21</w:t>
            </w:r>
          </w:p>
        </w:tc>
        <w:tc>
          <w:tcPr>
            <w:tcW w:w="1227" w:type="dxa"/>
            <w:shd w:val="clear" w:color="auto" w:fill="auto"/>
          </w:tcPr>
          <w:p w14:paraId="3BEA0B14" w14:textId="77777777" w:rsidR="00086EAE" w:rsidRPr="0054344B" w:rsidRDefault="00086EAE" w:rsidP="00130435">
            <w:pPr>
              <w:rPr>
                <w:rFonts w:eastAsia="MS Mincho"/>
                <w:sz w:val="20"/>
                <w:szCs w:val="20"/>
              </w:rPr>
            </w:pPr>
            <w:r w:rsidRPr="0054344B">
              <w:rPr>
                <w:rFonts w:eastAsia="MS Mincho"/>
                <w:sz w:val="20"/>
                <w:szCs w:val="20"/>
              </w:rPr>
              <w:t>13</w:t>
            </w:r>
          </w:p>
        </w:tc>
      </w:tr>
      <w:tr w:rsidR="00086EAE" w:rsidRPr="0054344B" w14:paraId="22DA7ECE" w14:textId="77777777" w:rsidTr="00E25502">
        <w:trPr>
          <w:trHeight w:val="57"/>
          <w:jc w:val="center"/>
        </w:trPr>
        <w:tc>
          <w:tcPr>
            <w:tcW w:w="1915" w:type="dxa"/>
            <w:shd w:val="clear" w:color="auto" w:fill="auto"/>
          </w:tcPr>
          <w:p w14:paraId="5274A64B" w14:textId="77777777" w:rsidR="00086EAE" w:rsidRPr="0054344B" w:rsidRDefault="00086EAE" w:rsidP="00130435">
            <w:pPr>
              <w:rPr>
                <w:rFonts w:eastAsia="MS Mincho"/>
                <w:sz w:val="20"/>
                <w:szCs w:val="20"/>
              </w:rPr>
            </w:pPr>
          </w:p>
        </w:tc>
        <w:tc>
          <w:tcPr>
            <w:tcW w:w="1990" w:type="dxa"/>
            <w:shd w:val="clear" w:color="auto" w:fill="auto"/>
          </w:tcPr>
          <w:p w14:paraId="601C6349" w14:textId="77777777" w:rsidR="00086EAE" w:rsidRPr="0054344B" w:rsidRDefault="00086EAE" w:rsidP="00130435">
            <w:pPr>
              <w:rPr>
                <w:rFonts w:eastAsia="MS Mincho"/>
                <w:sz w:val="20"/>
                <w:szCs w:val="20"/>
              </w:rPr>
            </w:pPr>
            <w:r w:rsidRPr="0054344B">
              <w:rPr>
                <w:rFonts w:eastAsia="MS Mincho"/>
                <w:sz w:val="20"/>
                <w:szCs w:val="20"/>
              </w:rPr>
              <w:t>Mortgages</w:t>
            </w:r>
          </w:p>
        </w:tc>
        <w:tc>
          <w:tcPr>
            <w:tcW w:w="1927" w:type="dxa"/>
            <w:shd w:val="clear" w:color="auto" w:fill="auto"/>
          </w:tcPr>
          <w:p w14:paraId="3C19D1C5" w14:textId="77777777" w:rsidR="00086EAE" w:rsidRPr="0054344B" w:rsidRDefault="00086EAE" w:rsidP="00130435">
            <w:pPr>
              <w:rPr>
                <w:rFonts w:eastAsia="MS Mincho"/>
                <w:sz w:val="20"/>
                <w:szCs w:val="20"/>
              </w:rPr>
            </w:pPr>
            <w:r w:rsidRPr="0054344B">
              <w:rPr>
                <w:rFonts w:eastAsia="MS Mincho"/>
                <w:sz w:val="20"/>
                <w:szCs w:val="20"/>
              </w:rPr>
              <w:t>3</w:t>
            </w:r>
          </w:p>
        </w:tc>
        <w:tc>
          <w:tcPr>
            <w:tcW w:w="1455" w:type="dxa"/>
            <w:shd w:val="clear" w:color="auto" w:fill="auto"/>
          </w:tcPr>
          <w:p w14:paraId="45913BC5" w14:textId="77777777" w:rsidR="00086EAE" w:rsidRPr="0054344B" w:rsidRDefault="00086EAE" w:rsidP="00130435">
            <w:pPr>
              <w:rPr>
                <w:rFonts w:eastAsia="MS Mincho"/>
                <w:sz w:val="20"/>
                <w:szCs w:val="20"/>
              </w:rPr>
            </w:pPr>
            <w:r w:rsidRPr="0054344B">
              <w:rPr>
                <w:rFonts w:eastAsia="MS Mincho"/>
                <w:sz w:val="20"/>
                <w:szCs w:val="20"/>
              </w:rPr>
              <w:t>19</w:t>
            </w:r>
          </w:p>
        </w:tc>
        <w:tc>
          <w:tcPr>
            <w:tcW w:w="1227" w:type="dxa"/>
            <w:shd w:val="clear" w:color="auto" w:fill="auto"/>
          </w:tcPr>
          <w:p w14:paraId="6FAEE029" w14:textId="77777777" w:rsidR="00086EAE" w:rsidRPr="0054344B" w:rsidRDefault="00086EAE" w:rsidP="00130435">
            <w:pPr>
              <w:rPr>
                <w:rFonts w:eastAsia="MS Mincho"/>
                <w:sz w:val="20"/>
                <w:szCs w:val="20"/>
              </w:rPr>
            </w:pPr>
            <w:r w:rsidRPr="0054344B">
              <w:rPr>
                <w:rFonts w:eastAsia="MS Mincho"/>
                <w:sz w:val="20"/>
                <w:szCs w:val="20"/>
              </w:rPr>
              <w:t>12</w:t>
            </w:r>
          </w:p>
        </w:tc>
      </w:tr>
      <w:tr w:rsidR="00086EAE" w:rsidRPr="0054344B" w14:paraId="16E28D9F" w14:textId="77777777" w:rsidTr="00E25502">
        <w:trPr>
          <w:trHeight w:val="57"/>
          <w:jc w:val="center"/>
        </w:trPr>
        <w:tc>
          <w:tcPr>
            <w:tcW w:w="1915" w:type="dxa"/>
            <w:shd w:val="clear" w:color="auto" w:fill="auto"/>
          </w:tcPr>
          <w:p w14:paraId="333F6CB1" w14:textId="77777777" w:rsidR="00086EAE" w:rsidRPr="0054344B" w:rsidRDefault="00086EAE" w:rsidP="00130435">
            <w:pPr>
              <w:rPr>
                <w:rFonts w:eastAsia="MS Mincho"/>
                <w:b/>
                <w:sz w:val="20"/>
                <w:szCs w:val="20"/>
              </w:rPr>
            </w:pPr>
          </w:p>
        </w:tc>
        <w:tc>
          <w:tcPr>
            <w:tcW w:w="1990" w:type="dxa"/>
            <w:shd w:val="clear" w:color="auto" w:fill="auto"/>
          </w:tcPr>
          <w:p w14:paraId="2339A38F" w14:textId="77777777" w:rsidR="00086EAE" w:rsidRPr="0054344B" w:rsidRDefault="00086EAE" w:rsidP="00130435">
            <w:pPr>
              <w:rPr>
                <w:rFonts w:eastAsia="MS Mincho"/>
                <w:sz w:val="20"/>
                <w:szCs w:val="20"/>
              </w:rPr>
            </w:pPr>
            <w:r w:rsidRPr="0054344B">
              <w:rPr>
                <w:rFonts w:eastAsia="MS Mincho"/>
                <w:sz w:val="20"/>
                <w:szCs w:val="20"/>
              </w:rPr>
              <w:t>Investment Trust</w:t>
            </w:r>
          </w:p>
        </w:tc>
        <w:tc>
          <w:tcPr>
            <w:tcW w:w="1927" w:type="dxa"/>
            <w:shd w:val="clear" w:color="auto" w:fill="auto"/>
          </w:tcPr>
          <w:p w14:paraId="754475F2" w14:textId="77777777" w:rsidR="00086EAE" w:rsidRPr="0054344B" w:rsidRDefault="00086EAE" w:rsidP="00130435">
            <w:pPr>
              <w:rPr>
                <w:rFonts w:eastAsia="MS Mincho"/>
                <w:sz w:val="20"/>
                <w:szCs w:val="20"/>
              </w:rPr>
            </w:pPr>
            <w:r w:rsidRPr="0054344B">
              <w:rPr>
                <w:rFonts w:eastAsia="MS Mincho"/>
                <w:sz w:val="20"/>
                <w:szCs w:val="20"/>
              </w:rPr>
              <w:t>4</w:t>
            </w:r>
          </w:p>
        </w:tc>
        <w:tc>
          <w:tcPr>
            <w:tcW w:w="1455" w:type="dxa"/>
            <w:shd w:val="clear" w:color="auto" w:fill="auto"/>
          </w:tcPr>
          <w:p w14:paraId="5E6DAC50" w14:textId="77777777" w:rsidR="00086EAE" w:rsidRPr="0054344B" w:rsidRDefault="00086EAE" w:rsidP="00130435">
            <w:pPr>
              <w:rPr>
                <w:rFonts w:eastAsia="MS Mincho"/>
                <w:sz w:val="20"/>
                <w:szCs w:val="20"/>
              </w:rPr>
            </w:pPr>
            <w:r w:rsidRPr="0054344B">
              <w:rPr>
                <w:rFonts w:eastAsia="MS Mincho"/>
                <w:sz w:val="20"/>
                <w:szCs w:val="20"/>
              </w:rPr>
              <w:t>17</w:t>
            </w:r>
          </w:p>
        </w:tc>
        <w:tc>
          <w:tcPr>
            <w:tcW w:w="1227" w:type="dxa"/>
            <w:shd w:val="clear" w:color="auto" w:fill="auto"/>
          </w:tcPr>
          <w:p w14:paraId="30786C61" w14:textId="77777777" w:rsidR="00086EAE" w:rsidRPr="0054344B" w:rsidRDefault="00086EAE" w:rsidP="00130435">
            <w:pPr>
              <w:rPr>
                <w:rFonts w:eastAsia="MS Mincho"/>
                <w:sz w:val="20"/>
                <w:szCs w:val="20"/>
              </w:rPr>
            </w:pPr>
            <w:r w:rsidRPr="0054344B">
              <w:rPr>
                <w:rFonts w:eastAsia="MS Mincho"/>
                <w:sz w:val="20"/>
                <w:szCs w:val="20"/>
              </w:rPr>
              <w:t>11</w:t>
            </w:r>
          </w:p>
        </w:tc>
      </w:tr>
      <w:tr w:rsidR="00086EAE" w:rsidRPr="0054344B" w14:paraId="18B5ED37" w14:textId="77777777" w:rsidTr="00E25502">
        <w:trPr>
          <w:trHeight w:val="57"/>
          <w:jc w:val="center"/>
        </w:trPr>
        <w:tc>
          <w:tcPr>
            <w:tcW w:w="1915" w:type="dxa"/>
            <w:shd w:val="clear" w:color="auto" w:fill="auto"/>
          </w:tcPr>
          <w:p w14:paraId="0C5FD213" w14:textId="77777777" w:rsidR="00086EAE" w:rsidRPr="0054344B" w:rsidRDefault="00086EAE" w:rsidP="00130435">
            <w:pPr>
              <w:rPr>
                <w:rFonts w:eastAsia="MS Mincho"/>
                <w:b/>
                <w:sz w:val="20"/>
                <w:szCs w:val="20"/>
              </w:rPr>
            </w:pPr>
          </w:p>
        </w:tc>
        <w:tc>
          <w:tcPr>
            <w:tcW w:w="1990" w:type="dxa"/>
            <w:shd w:val="clear" w:color="auto" w:fill="auto"/>
          </w:tcPr>
          <w:p w14:paraId="530AD70D" w14:textId="77777777" w:rsidR="00086EAE" w:rsidRPr="0054344B" w:rsidRDefault="00086EAE" w:rsidP="00130435">
            <w:pPr>
              <w:rPr>
                <w:rFonts w:eastAsia="MS Mincho"/>
                <w:sz w:val="20"/>
                <w:szCs w:val="20"/>
              </w:rPr>
            </w:pPr>
            <w:r w:rsidRPr="0054344B">
              <w:rPr>
                <w:rFonts w:eastAsia="MS Mincho"/>
                <w:sz w:val="20"/>
                <w:szCs w:val="20"/>
              </w:rPr>
              <w:t>Banking Services</w:t>
            </w:r>
          </w:p>
        </w:tc>
        <w:tc>
          <w:tcPr>
            <w:tcW w:w="1927" w:type="dxa"/>
            <w:shd w:val="clear" w:color="auto" w:fill="auto"/>
          </w:tcPr>
          <w:p w14:paraId="61E8F7BF" w14:textId="77777777" w:rsidR="00086EAE" w:rsidRPr="0054344B" w:rsidRDefault="00086EAE" w:rsidP="00130435">
            <w:pPr>
              <w:rPr>
                <w:rFonts w:eastAsia="MS Mincho"/>
                <w:sz w:val="20"/>
                <w:szCs w:val="20"/>
              </w:rPr>
            </w:pPr>
            <w:r w:rsidRPr="0054344B">
              <w:rPr>
                <w:rFonts w:eastAsia="MS Mincho"/>
                <w:sz w:val="20"/>
                <w:szCs w:val="20"/>
              </w:rPr>
              <w:t>5</w:t>
            </w:r>
          </w:p>
        </w:tc>
        <w:tc>
          <w:tcPr>
            <w:tcW w:w="1455" w:type="dxa"/>
            <w:shd w:val="clear" w:color="auto" w:fill="auto"/>
          </w:tcPr>
          <w:p w14:paraId="4175350D" w14:textId="77777777" w:rsidR="00086EAE" w:rsidRPr="0054344B" w:rsidRDefault="00086EAE" w:rsidP="00130435">
            <w:pPr>
              <w:rPr>
                <w:rFonts w:eastAsia="MS Mincho"/>
                <w:sz w:val="20"/>
                <w:szCs w:val="20"/>
              </w:rPr>
            </w:pPr>
            <w:r w:rsidRPr="0054344B">
              <w:rPr>
                <w:rFonts w:eastAsia="MS Mincho"/>
                <w:sz w:val="20"/>
                <w:szCs w:val="20"/>
              </w:rPr>
              <w:t>14</w:t>
            </w:r>
          </w:p>
        </w:tc>
        <w:tc>
          <w:tcPr>
            <w:tcW w:w="1227" w:type="dxa"/>
            <w:shd w:val="clear" w:color="auto" w:fill="auto"/>
          </w:tcPr>
          <w:p w14:paraId="48810552" w14:textId="77777777" w:rsidR="00086EAE" w:rsidRPr="0054344B" w:rsidRDefault="00086EAE" w:rsidP="00130435">
            <w:pPr>
              <w:rPr>
                <w:rFonts w:eastAsia="MS Mincho"/>
                <w:sz w:val="20"/>
                <w:szCs w:val="20"/>
              </w:rPr>
            </w:pPr>
            <w:r w:rsidRPr="0054344B">
              <w:rPr>
                <w:rFonts w:eastAsia="MS Mincho"/>
                <w:sz w:val="20"/>
                <w:szCs w:val="20"/>
              </w:rPr>
              <w:t>9</w:t>
            </w:r>
          </w:p>
        </w:tc>
      </w:tr>
      <w:tr w:rsidR="00086EAE" w:rsidRPr="0054344B" w14:paraId="36F96CC1" w14:textId="77777777" w:rsidTr="00E25502">
        <w:trPr>
          <w:trHeight w:val="57"/>
          <w:jc w:val="center"/>
        </w:trPr>
        <w:tc>
          <w:tcPr>
            <w:tcW w:w="1915" w:type="dxa"/>
            <w:shd w:val="clear" w:color="auto" w:fill="auto"/>
          </w:tcPr>
          <w:p w14:paraId="165A02F7" w14:textId="77777777" w:rsidR="00086EAE" w:rsidRPr="0054344B" w:rsidRDefault="00086EAE" w:rsidP="00130435">
            <w:pPr>
              <w:rPr>
                <w:rFonts w:eastAsia="MS Mincho"/>
                <w:b/>
                <w:sz w:val="20"/>
                <w:szCs w:val="20"/>
              </w:rPr>
            </w:pPr>
          </w:p>
        </w:tc>
        <w:tc>
          <w:tcPr>
            <w:tcW w:w="1990" w:type="dxa"/>
            <w:shd w:val="clear" w:color="auto" w:fill="auto"/>
          </w:tcPr>
          <w:p w14:paraId="1630891C" w14:textId="77777777" w:rsidR="00086EAE" w:rsidRPr="0054344B" w:rsidRDefault="00086EAE" w:rsidP="00130435">
            <w:pPr>
              <w:rPr>
                <w:rFonts w:eastAsia="MS Mincho"/>
                <w:b/>
                <w:sz w:val="20"/>
                <w:szCs w:val="20"/>
              </w:rPr>
            </w:pPr>
            <w:r w:rsidRPr="0054344B">
              <w:rPr>
                <w:rFonts w:eastAsia="MS Mincho"/>
                <w:b/>
                <w:sz w:val="20"/>
                <w:szCs w:val="20"/>
              </w:rPr>
              <w:t>Total</w:t>
            </w:r>
          </w:p>
        </w:tc>
        <w:tc>
          <w:tcPr>
            <w:tcW w:w="1927" w:type="dxa"/>
            <w:shd w:val="clear" w:color="auto" w:fill="auto"/>
          </w:tcPr>
          <w:p w14:paraId="5F08C6AB" w14:textId="77777777" w:rsidR="00086EAE" w:rsidRPr="0054344B" w:rsidRDefault="00086EAE" w:rsidP="00130435">
            <w:pPr>
              <w:rPr>
                <w:rFonts w:eastAsia="MS Mincho"/>
                <w:b/>
                <w:sz w:val="20"/>
                <w:szCs w:val="20"/>
              </w:rPr>
            </w:pPr>
          </w:p>
        </w:tc>
        <w:tc>
          <w:tcPr>
            <w:tcW w:w="1455" w:type="dxa"/>
            <w:shd w:val="clear" w:color="auto" w:fill="auto"/>
          </w:tcPr>
          <w:p w14:paraId="6EBA839B" w14:textId="77777777" w:rsidR="00086EAE" w:rsidRPr="0054344B" w:rsidRDefault="00086EAE" w:rsidP="00130435">
            <w:pPr>
              <w:rPr>
                <w:rFonts w:eastAsia="MS Mincho"/>
                <w:b/>
                <w:sz w:val="20"/>
                <w:szCs w:val="20"/>
              </w:rPr>
            </w:pPr>
            <w:r w:rsidRPr="0054344B">
              <w:rPr>
                <w:rFonts w:eastAsia="MS Mincho"/>
                <w:b/>
                <w:sz w:val="20"/>
                <w:szCs w:val="20"/>
              </w:rPr>
              <w:t>100</w:t>
            </w:r>
          </w:p>
        </w:tc>
        <w:tc>
          <w:tcPr>
            <w:tcW w:w="1227" w:type="dxa"/>
            <w:shd w:val="clear" w:color="auto" w:fill="auto"/>
          </w:tcPr>
          <w:p w14:paraId="0457CA52" w14:textId="77777777" w:rsidR="00086EAE" w:rsidRPr="0054344B" w:rsidRDefault="00086EAE" w:rsidP="00130435">
            <w:pPr>
              <w:rPr>
                <w:rFonts w:eastAsia="MS Mincho"/>
                <w:b/>
                <w:sz w:val="20"/>
                <w:szCs w:val="20"/>
              </w:rPr>
            </w:pPr>
            <w:r w:rsidRPr="0054344B">
              <w:rPr>
                <w:rFonts w:eastAsia="MS Mincho"/>
                <w:b/>
                <w:sz w:val="20"/>
                <w:szCs w:val="20"/>
              </w:rPr>
              <w:t>63</w:t>
            </w:r>
          </w:p>
        </w:tc>
      </w:tr>
      <w:tr w:rsidR="00086EAE" w:rsidRPr="0054344B" w14:paraId="504E221E" w14:textId="77777777" w:rsidTr="00E25502">
        <w:trPr>
          <w:gridAfter w:val="2"/>
          <w:wAfter w:w="2682" w:type="dxa"/>
          <w:trHeight w:val="57"/>
          <w:jc w:val="center"/>
        </w:trPr>
        <w:tc>
          <w:tcPr>
            <w:tcW w:w="1915" w:type="dxa"/>
            <w:shd w:val="clear" w:color="auto" w:fill="auto"/>
          </w:tcPr>
          <w:p w14:paraId="19CDEE19" w14:textId="77777777" w:rsidR="00086EAE" w:rsidRPr="0054344B" w:rsidRDefault="00086EAE" w:rsidP="00130435">
            <w:pPr>
              <w:rPr>
                <w:rFonts w:eastAsia="MS Mincho"/>
                <w:b/>
                <w:sz w:val="20"/>
                <w:szCs w:val="20"/>
              </w:rPr>
            </w:pPr>
            <w:r w:rsidRPr="0054344B">
              <w:rPr>
                <w:rFonts w:eastAsia="MS Mincho"/>
                <w:b/>
                <w:sz w:val="20"/>
                <w:szCs w:val="20"/>
              </w:rPr>
              <w:t xml:space="preserve">Big4Auditors </w:t>
            </w:r>
          </w:p>
          <w:p w14:paraId="0C340196" w14:textId="77777777" w:rsidR="00086EAE" w:rsidRPr="0054344B" w:rsidRDefault="00086EAE" w:rsidP="00130435">
            <w:pPr>
              <w:rPr>
                <w:rFonts w:eastAsia="MS Mincho"/>
                <w:b/>
                <w:sz w:val="20"/>
                <w:szCs w:val="20"/>
              </w:rPr>
            </w:pPr>
            <w:r w:rsidRPr="0054344B">
              <w:rPr>
                <w:rFonts w:eastAsia="MS Mincho"/>
                <w:b/>
                <w:sz w:val="20"/>
                <w:szCs w:val="20"/>
              </w:rPr>
              <w:t>(BIG4)</w:t>
            </w:r>
          </w:p>
        </w:tc>
        <w:tc>
          <w:tcPr>
            <w:tcW w:w="1990" w:type="dxa"/>
            <w:shd w:val="clear" w:color="auto" w:fill="auto"/>
          </w:tcPr>
          <w:p w14:paraId="422D9C6D" w14:textId="77777777" w:rsidR="00086EAE" w:rsidRPr="0054344B" w:rsidRDefault="00086EAE" w:rsidP="00130435">
            <w:pPr>
              <w:rPr>
                <w:rFonts w:eastAsia="MS Mincho"/>
                <w:sz w:val="20"/>
                <w:szCs w:val="20"/>
              </w:rPr>
            </w:pPr>
          </w:p>
        </w:tc>
        <w:tc>
          <w:tcPr>
            <w:tcW w:w="1927" w:type="dxa"/>
            <w:shd w:val="clear" w:color="auto" w:fill="auto"/>
          </w:tcPr>
          <w:p w14:paraId="6AD6DFA1" w14:textId="77777777" w:rsidR="00086EAE" w:rsidRPr="0054344B" w:rsidRDefault="00086EAE" w:rsidP="00130435">
            <w:pPr>
              <w:rPr>
                <w:rFonts w:eastAsia="MS Mincho"/>
                <w:sz w:val="20"/>
                <w:szCs w:val="20"/>
              </w:rPr>
            </w:pPr>
            <w:r w:rsidRPr="0054344B">
              <w:rPr>
                <w:rFonts w:eastAsia="MS Mincho"/>
                <w:b/>
                <w:sz w:val="20"/>
                <w:szCs w:val="20"/>
              </w:rPr>
              <w:t>Representation</w:t>
            </w:r>
          </w:p>
        </w:tc>
      </w:tr>
      <w:tr w:rsidR="00086EAE" w:rsidRPr="0054344B" w14:paraId="02829EDD" w14:textId="77777777" w:rsidTr="00E25502">
        <w:trPr>
          <w:gridAfter w:val="2"/>
          <w:wAfter w:w="2682" w:type="dxa"/>
          <w:trHeight w:val="57"/>
          <w:jc w:val="center"/>
        </w:trPr>
        <w:tc>
          <w:tcPr>
            <w:tcW w:w="1915" w:type="dxa"/>
            <w:shd w:val="clear" w:color="auto" w:fill="auto"/>
          </w:tcPr>
          <w:p w14:paraId="607FB1D6" w14:textId="77777777" w:rsidR="00086EAE" w:rsidRPr="0054344B" w:rsidRDefault="00086EAE" w:rsidP="00130435">
            <w:pPr>
              <w:rPr>
                <w:rFonts w:eastAsia="MS Mincho"/>
                <w:sz w:val="20"/>
                <w:szCs w:val="20"/>
              </w:rPr>
            </w:pPr>
          </w:p>
        </w:tc>
        <w:tc>
          <w:tcPr>
            <w:tcW w:w="1990" w:type="dxa"/>
            <w:shd w:val="clear" w:color="auto" w:fill="auto"/>
          </w:tcPr>
          <w:p w14:paraId="1DD64FE3" w14:textId="77777777" w:rsidR="00086EAE" w:rsidRPr="0054344B" w:rsidRDefault="00086EAE" w:rsidP="00130435">
            <w:pPr>
              <w:rPr>
                <w:rFonts w:eastAsia="MS Mincho"/>
                <w:sz w:val="20"/>
                <w:szCs w:val="20"/>
              </w:rPr>
            </w:pPr>
            <w:r w:rsidRPr="0054344B">
              <w:rPr>
                <w:rFonts w:eastAsia="MS Mincho"/>
                <w:sz w:val="20"/>
                <w:szCs w:val="20"/>
              </w:rPr>
              <w:t>Deloitte &amp; Touche</w:t>
            </w:r>
          </w:p>
        </w:tc>
        <w:tc>
          <w:tcPr>
            <w:tcW w:w="1927" w:type="dxa"/>
            <w:shd w:val="clear" w:color="auto" w:fill="auto"/>
          </w:tcPr>
          <w:p w14:paraId="41C37595" w14:textId="77777777" w:rsidR="00086EAE" w:rsidRPr="0054344B" w:rsidRDefault="00086EAE" w:rsidP="00130435">
            <w:pPr>
              <w:rPr>
                <w:rFonts w:eastAsia="MS Mincho"/>
                <w:sz w:val="20"/>
                <w:szCs w:val="20"/>
              </w:rPr>
            </w:pPr>
            <w:r w:rsidRPr="0054344B">
              <w:rPr>
                <w:rFonts w:eastAsia="MS Mincho"/>
                <w:sz w:val="20"/>
                <w:szCs w:val="20"/>
              </w:rPr>
              <w:t>1</w:t>
            </w:r>
          </w:p>
        </w:tc>
      </w:tr>
      <w:tr w:rsidR="00086EAE" w:rsidRPr="0054344B" w14:paraId="4EC88721" w14:textId="77777777" w:rsidTr="00E25502">
        <w:trPr>
          <w:gridAfter w:val="2"/>
          <w:wAfter w:w="2682" w:type="dxa"/>
          <w:trHeight w:val="57"/>
          <w:jc w:val="center"/>
        </w:trPr>
        <w:tc>
          <w:tcPr>
            <w:tcW w:w="1915" w:type="dxa"/>
            <w:shd w:val="clear" w:color="auto" w:fill="auto"/>
          </w:tcPr>
          <w:p w14:paraId="68152D92" w14:textId="77777777" w:rsidR="00086EAE" w:rsidRPr="0054344B" w:rsidRDefault="00086EAE" w:rsidP="00130435">
            <w:pPr>
              <w:rPr>
                <w:rFonts w:eastAsia="MS Mincho"/>
                <w:b/>
                <w:sz w:val="20"/>
                <w:szCs w:val="20"/>
              </w:rPr>
            </w:pPr>
          </w:p>
        </w:tc>
        <w:tc>
          <w:tcPr>
            <w:tcW w:w="1990" w:type="dxa"/>
            <w:shd w:val="clear" w:color="auto" w:fill="auto"/>
          </w:tcPr>
          <w:p w14:paraId="0F82171B" w14:textId="77777777" w:rsidR="00086EAE" w:rsidRPr="0054344B" w:rsidRDefault="00086EAE" w:rsidP="00130435">
            <w:pPr>
              <w:rPr>
                <w:rFonts w:eastAsia="MS Mincho"/>
                <w:sz w:val="20"/>
                <w:szCs w:val="20"/>
              </w:rPr>
            </w:pPr>
            <w:r w:rsidRPr="0054344B">
              <w:rPr>
                <w:rFonts w:eastAsia="MS Mincho"/>
                <w:sz w:val="20"/>
                <w:szCs w:val="20"/>
              </w:rPr>
              <w:t>PriceWaterhouse Coopers</w:t>
            </w:r>
          </w:p>
        </w:tc>
        <w:tc>
          <w:tcPr>
            <w:tcW w:w="1927" w:type="dxa"/>
            <w:shd w:val="clear" w:color="auto" w:fill="auto"/>
          </w:tcPr>
          <w:p w14:paraId="0CBD21DB" w14:textId="77777777" w:rsidR="00086EAE" w:rsidRPr="0054344B" w:rsidRDefault="00086EAE" w:rsidP="00130435">
            <w:pPr>
              <w:rPr>
                <w:rFonts w:eastAsia="MS Mincho"/>
                <w:sz w:val="20"/>
                <w:szCs w:val="20"/>
              </w:rPr>
            </w:pPr>
            <w:r w:rsidRPr="0054344B">
              <w:rPr>
                <w:rFonts w:eastAsia="MS Mincho"/>
                <w:sz w:val="20"/>
                <w:szCs w:val="20"/>
              </w:rPr>
              <w:t>1</w:t>
            </w:r>
          </w:p>
        </w:tc>
      </w:tr>
      <w:tr w:rsidR="00086EAE" w:rsidRPr="0054344B" w14:paraId="7EB42C01" w14:textId="77777777" w:rsidTr="00E25502">
        <w:trPr>
          <w:gridAfter w:val="2"/>
          <w:wAfter w:w="2682" w:type="dxa"/>
          <w:trHeight w:val="57"/>
          <w:jc w:val="center"/>
        </w:trPr>
        <w:tc>
          <w:tcPr>
            <w:tcW w:w="1915" w:type="dxa"/>
            <w:shd w:val="clear" w:color="auto" w:fill="auto"/>
          </w:tcPr>
          <w:p w14:paraId="7DF4DC25" w14:textId="77777777" w:rsidR="00086EAE" w:rsidRPr="0054344B" w:rsidRDefault="00086EAE" w:rsidP="00130435">
            <w:pPr>
              <w:rPr>
                <w:rFonts w:eastAsia="MS Mincho"/>
                <w:b/>
                <w:sz w:val="20"/>
                <w:szCs w:val="20"/>
              </w:rPr>
            </w:pPr>
          </w:p>
        </w:tc>
        <w:tc>
          <w:tcPr>
            <w:tcW w:w="1990" w:type="dxa"/>
            <w:shd w:val="clear" w:color="auto" w:fill="auto"/>
          </w:tcPr>
          <w:p w14:paraId="35AE6B82" w14:textId="77777777" w:rsidR="00086EAE" w:rsidRPr="0054344B" w:rsidRDefault="00086EAE" w:rsidP="00130435">
            <w:pPr>
              <w:rPr>
                <w:rFonts w:eastAsia="MS Mincho"/>
                <w:sz w:val="20"/>
                <w:szCs w:val="20"/>
              </w:rPr>
            </w:pPr>
            <w:r w:rsidRPr="0054344B">
              <w:rPr>
                <w:rFonts w:eastAsia="MS Mincho"/>
                <w:sz w:val="20"/>
                <w:szCs w:val="20"/>
              </w:rPr>
              <w:t>Ernst &amp; Young</w:t>
            </w:r>
          </w:p>
        </w:tc>
        <w:tc>
          <w:tcPr>
            <w:tcW w:w="1927" w:type="dxa"/>
            <w:shd w:val="clear" w:color="auto" w:fill="auto"/>
          </w:tcPr>
          <w:p w14:paraId="7F5F1BA3" w14:textId="77777777" w:rsidR="00086EAE" w:rsidRPr="0054344B" w:rsidRDefault="00086EAE" w:rsidP="00130435">
            <w:pPr>
              <w:rPr>
                <w:rFonts w:eastAsia="MS Mincho"/>
                <w:sz w:val="20"/>
                <w:szCs w:val="20"/>
              </w:rPr>
            </w:pPr>
            <w:r w:rsidRPr="0054344B">
              <w:rPr>
                <w:rFonts w:eastAsia="MS Mincho"/>
                <w:sz w:val="20"/>
                <w:szCs w:val="20"/>
              </w:rPr>
              <w:t>1</w:t>
            </w:r>
          </w:p>
        </w:tc>
      </w:tr>
      <w:tr w:rsidR="00086EAE" w:rsidRPr="0054344B" w14:paraId="2356DB23" w14:textId="77777777" w:rsidTr="00E25502">
        <w:trPr>
          <w:gridAfter w:val="2"/>
          <w:wAfter w:w="2682" w:type="dxa"/>
          <w:trHeight w:val="57"/>
          <w:jc w:val="center"/>
        </w:trPr>
        <w:tc>
          <w:tcPr>
            <w:tcW w:w="1915" w:type="dxa"/>
            <w:shd w:val="clear" w:color="auto" w:fill="auto"/>
          </w:tcPr>
          <w:p w14:paraId="610922DD" w14:textId="77777777" w:rsidR="00086EAE" w:rsidRPr="0054344B" w:rsidRDefault="00086EAE" w:rsidP="00130435">
            <w:pPr>
              <w:rPr>
                <w:rFonts w:eastAsia="MS Mincho"/>
                <w:sz w:val="20"/>
                <w:szCs w:val="20"/>
              </w:rPr>
            </w:pPr>
          </w:p>
        </w:tc>
        <w:tc>
          <w:tcPr>
            <w:tcW w:w="1990" w:type="dxa"/>
            <w:shd w:val="clear" w:color="auto" w:fill="auto"/>
          </w:tcPr>
          <w:p w14:paraId="368B65E8" w14:textId="77777777" w:rsidR="00086EAE" w:rsidRPr="0054344B" w:rsidRDefault="00086EAE" w:rsidP="00130435">
            <w:pPr>
              <w:rPr>
                <w:rFonts w:eastAsia="MS Mincho"/>
                <w:sz w:val="20"/>
                <w:szCs w:val="20"/>
              </w:rPr>
            </w:pPr>
            <w:r w:rsidRPr="0054344B">
              <w:rPr>
                <w:rFonts w:eastAsia="MS Mincho"/>
                <w:sz w:val="20"/>
                <w:szCs w:val="20"/>
              </w:rPr>
              <w:t>KPMG</w:t>
            </w:r>
          </w:p>
        </w:tc>
        <w:tc>
          <w:tcPr>
            <w:tcW w:w="1927" w:type="dxa"/>
            <w:shd w:val="clear" w:color="auto" w:fill="auto"/>
          </w:tcPr>
          <w:p w14:paraId="1CD14528" w14:textId="77777777" w:rsidR="00086EAE" w:rsidRPr="0054344B" w:rsidRDefault="00086EAE" w:rsidP="00130435">
            <w:pPr>
              <w:rPr>
                <w:rFonts w:eastAsia="MS Mincho"/>
                <w:sz w:val="20"/>
                <w:szCs w:val="20"/>
              </w:rPr>
            </w:pPr>
            <w:r w:rsidRPr="0054344B">
              <w:rPr>
                <w:rFonts w:eastAsia="MS Mincho"/>
                <w:sz w:val="20"/>
                <w:szCs w:val="20"/>
              </w:rPr>
              <w:t>1</w:t>
            </w:r>
          </w:p>
        </w:tc>
      </w:tr>
      <w:tr w:rsidR="00086EAE" w:rsidRPr="0054344B" w14:paraId="4A2E3626" w14:textId="77777777" w:rsidTr="00E25502">
        <w:trPr>
          <w:gridAfter w:val="2"/>
          <w:wAfter w:w="2682" w:type="dxa"/>
          <w:trHeight w:val="57"/>
          <w:jc w:val="center"/>
        </w:trPr>
        <w:tc>
          <w:tcPr>
            <w:tcW w:w="1915" w:type="dxa"/>
            <w:shd w:val="clear" w:color="auto" w:fill="auto"/>
          </w:tcPr>
          <w:p w14:paraId="56218BC1" w14:textId="77777777" w:rsidR="00086EAE" w:rsidRPr="0054344B" w:rsidRDefault="00086EAE" w:rsidP="00130435">
            <w:pPr>
              <w:rPr>
                <w:rFonts w:eastAsia="MS Mincho"/>
                <w:b/>
                <w:sz w:val="20"/>
                <w:szCs w:val="20"/>
              </w:rPr>
            </w:pPr>
          </w:p>
        </w:tc>
        <w:tc>
          <w:tcPr>
            <w:tcW w:w="1990" w:type="dxa"/>
            <w:shd w:val="clear" w:color="auto" w:fill="auto"/>
          </w:tcPr>
          <w:p w14:paraId="5FFB543C" w14:textId="77777777" w:rsidR="00086EAE" w:rsidRPr="0054344B" w:rsidRDefault="00086EAE" w:rsidP="00130435">
            <w:pPr>
              <w:rPr>
                <w:rFonts w:eastAsia="MS Mincho"/>
                <w:sz w:val="20"/>
                <w:szCs w:val="20"/>
              </w:rPr>
            </w:pPr>
            <w:r w:rsidRPr="0054344B">
              <w:rPr>
                <w:rFonts w:eastAsia="MS Mincho"/>
                <w:sz w:val="20"/>
                <w:szCs w:val="20"/>
              </w:rPr>
              <w:t>Grant Thornton</w:t>
            </w:r>
          </w:p>
        </w:tc>
        <w:tc>
          <w:tcPr>
            <w:tcW w:w="1927" w:type="dxa"/>
            <w:shd w:val="clear" w:color="auto" w:fill="auto"/>
          </w:tcPr>
          <w:p w14:paraId="47DB7BEE" w14:textId="77777777" w:rsidR="00086EAE" w:rsidRPr="0054344B" w:rsidRDefault="00086EAE" w:rsidP="00130435">
            <w:pPr>
              <w:rPr>
                <w:rFonts w:eastAsia="MS Mincho"/>
                <w:sz w:val="20"/>
                <w:szCs w:val="20"/>
              </w:rPr>
            </w:pPr>
            <w:r w:rsidRPr="0054344B">
              <w:rPr>
                <w:rFonts w:eastAsia="MS Mincho"/>
                <w:sz w:val="20"/>
                <w:szCs w:val="20"/>
              </w:rPr>
              <w:t>0</w:t>
            </w:r>
          </w:p>
        </w:tc>
      </w:tr>
      <w:tr w:rsidR="00086EAE" w:rsidRPr="0054344B" w14:paraId="0AB02396" w14:textId="77777777" w:rsidTr="00E25502">
        <w:trPr>
          <w:gridAfter w:val="2"/>
          <w:wAfter w:w="2682" w:type="dxa"/>
          <w:trHeight w:val="57"/>
          <w:jc w:val="center"/>
        </w:trPr>
        <w:tc>
          <w:tcPr>
            <w:tcW w:w="1915" w:type="dxa"/>
            <w:shd w:val="clear" w:color="auto" w:fill="auto"/>
          </w:tcPr>
          <w:p w14:paraId="69E01DBA" w14:textId="77777777" w:rsidR="00086EAE" w:rsidRPr="0054344B" w:rsidRDefault="00086EAE" w:rsidP="00130435">
            <w:pPr>
              <w:rPr>
                <w:rFonts w:eastAsia="MS Mincho"/>
                <w:b/>
                <w:sz w:val="20"/>
                <w:szCs w:val="20"/>
              </w:rPr>
            </w:pPr>
          </w:p>
        </w:tc>
        <w:tc>
          <w:tcPr>
            <w:tcW w:w="1990" w:type="dxa"/>
            <w:shd w:val="clear" w:color="auto" w:fill="auto"/>
          </w:tcPr>
          <w:p w14:paraId="55E1652D" w14:textId="77777777" w:rsidR="00086EAE" w:rsidRPr="0054344B" w:rsidRDefault="00086EAE" w:rsidP="00130435">
            <w:pPr>
              <w:rPr>
                <w:rFonts w:eastAsia="MS Mincho"/>
                <w:sz w:val="20"/>
                <w:szCs w:val="20"/>
              </w:rPr>
            </w:pPr>
            <w:r w:rsidRPr="0054344B">
              <w:rPr>
                <w:rFonts w:eastAsia="MS Mincho"/>
                <w:sz w:val="20"/>
                <w:szCs w:val="20"/>
              </w:rPr>
              <w:t>BDO International</w:t>
            </w:r>
          </w:p>
        </w:tc>
        <w:tc>
          <w:tcPr>
            <w:tcW w:w="1927" w:type="dxa"/>
            <w:shd w:val="clear" w:color="auto" w:fill="auto"/>
          </w:tcPr>
          <w:p w14:paraId="42F34BCF" w14:textId="77777777" w:rsidR="00086EAE" w:rsidRPr="0054344B" w:rsidRDefault="00086EAE" w:rsidP="00130435">
            <w:pPr>
              <w:rPr>
                <w:rFonts w:eastAsia="MS Mincho"/>
                <w:sz w:val="20"/>
                <w:szCs w:val="20"/>
              </w:rPr>
            </w:pPr>
            <w:r w:rsidRPr="0054344B">
              <w:rPr>
                <w:rFonts w:eastAsia="MS Mincho"/>
                <w:sz w:val="20"/>
                <w:szCs w:val="20"/>
              </w:rPr>
              <w:t>0</w:t>
            </w:r>
          </w:p>
        </w:tc>
      </w:tr>
      <w:tr w:rsidR="00086EAE" w:rsidRPr="0054344B" w14:paraId="56F11C2B" w14:textId="77777777" w:rsidTr="00E25502">
        <w:trPr>
          <w:gridAfter w:val="2"/>
          <w:wAfter w:w="2682" w:type="dxa"/>
          <w:trHeight w:val="57"/>
          <w:jc w:val="center"/>
        </w:trPr>
        <w:tc>
          <w:tcPr>
            <w:tcW w:w="1915" w:type="dxa"/>
            <w:shd w:val="clear" w:color="auto" w:fill="auto"/>
          </w:tcPr>
          <w:p w14:paraId="2251EDBD" w14:textId="77777777" w:rsidR="00086EAE" w:rsidRPr="0054344B" w:rsidRDefault="00086EAE" w:rsidP="00130435">
            <w:pPr>
              <w:rPr>
                <w:rFonts w:eastAsia="MS Mincho"/>
                <w:sz w:val="20"/>
                <w:szCs w:val="20"/>
              </w:rPr>
            </w:pPr>
          </w:p>
        </w:tc>
        <w:tc>
          <w:tcPr>
            <w:tcW w:w="1990" w:type="dxa"/>
            <w:shd w:val="clear" w:color="auto" w:fill="auto"/>
          </w:tcPr>
          <w:p w14:paraId="3C1A20A3" w14:textId="77777777" w:rsidR="00086EAE" w:rsidRPr="0054344B" w:rsidRDefault="00086EAE" w:rsidP="00130435">
            <w:pPr>
              <w:rPr>
                <w:rFonts w:eastAsia="MS Mincho"/>
                <w:sz w:val="20"/>
                <w:szCs w:val="20"/>
              </w:rPr>
            </w:pPr>
          </w:p>
        </w:tc>
        <w:tc>
          <w:tcPr>
            <w:tcW w:w="1927" w:type="dxa"/>
            <w:shd w:val="clear" w:color="auto" w:fill="auto"/>
          </w:tcPr>
          <w:p w14:paraId="5162D0CD" w14:textId="77777777" w:rsidR="00086EAE" w:rsidRPr="0054344B" w:rsidRDefault="00086EAE" w:rsidP="00130435">
            <w:pPr>
              <w:rPr>
                <w:rFonts w:eastAsia="MS Mincho"/>
                <w:sz w:val="20"/>
                <w:szCs w:val="20"/>
              </w:rPr>
            </w:pPr>
          </w:p>
        </w:tc>
      </w:tr>
      <w:tr w:rsidR="00086EAE" w:rsidRPr="0054344B" w14:paraId="4FB35480" w14:textId="77777777" w:rsidTr="00E25502">
        <w:trPr>
          <w:gridAfter w:val="2"/>
          <w:wAfter w:w="2682" w:type="dxa"/>
          <w:trHeight w:val="57"/>
          <w:jc w:val="center"/>
        </w:trPr>
        <w:tc>
          <w:tcPr>
            <w:tcW w:w="1915" w:type="dxa"/>
            <w:shd w:val="clear" w:color="auto" w:fill="auto"/>
          </w:tcPr>
          <w:p w14:paraId="7AD27356" w14:textId="77777777" w:rsidR="00086EAE" w:rsidRPr="0054344B" w:rsidRDefault="00086EAE" w:rsidP="00130435">
            <w:pPr>
              <w:ind w:right="-391"/>
              <w:rPr>
                <w:rFonts w:eastAsia="MS Mincho"/>
                <w:b/>
                <w:sz w:val="20"/>
                <w:szCs w:val="20"/>
              </w:rPr>
            </w:pPr>
            <w:r w:rsidRPr="0054344B">
              <w:rPr>
                <w:rFonts w:eastAsia="MS Mincho"/>
                <w:b/>
                <w:sz w:val="20"/>
                <w:szCs w:val="20"/>
              </w:rPr>
              <w:t xml:space="preserve">Firms Cross-listed </w:t>
            </w:r>
          </w:p>
          <w:p w14:paraId="769FA2A6" w14:textId="77777777" w:rsidR="00086EAE" w:rsidRPr="0054344B" w:rsidRDefault="00086EAE" w:rsidP="00130435">
            <w:pPr>
              <w:rPr>
                <w:rFonts w:eastAsia="MS Mincho"/>
                <w:b/>
                <w:sz w:val="20"/>
                <w:szCs w:val="20"/>
              </w:rPr>
            </w:pPr>
            <w:r w:rsidRPr="0054344B">
              <w:rPr>
                <w:rFonts w:eastAsia="MS Mincho"/>
                <w:b/>
                <w:sz w:val="20"/>
                <w:szCs w:val="20"/>
              </w:rPr>
              <w:t>(DUAL)</w:t>
            </w:r>
          </w:p>
        </w:tc>
        <w:tc>
          <w:tcPr>
            <w:tcW w:w="1990" w:type="dxa"/>
            <w:shd w:val="clear" w:color="auto" w:fill="auto"/>
          </w:tcPr>
          <w:p w14:paraId="652FB69C" w14:textId="77777777" w:rsidR="00086EAE" w:rsidRPr="0054344B" w:rsidRDefault="00086EAE" w:rsidP="00130435">
            <w:pPr>
              <w:rPr>
                <w:rFonts w:eastAsia="MS Mincho"/>
                <w:sz w:val="20"/>
                <w:szCs w:val="20"/>
              </w:rPr>
            </w:pPr>
            <w:r w:rsidRPr="0054344B">
              <w:rPr>
                <w:rFonts w:eastAsia="MS Mincho"/>
                <w:sz w:val="20"/>
                <w:szCs w:val="20"/>
              </w:rPr>
              <w:t xml:space="preserve">Does exist </w:t>
            </w:r>
          </w:p>
        </w:tc>
        <w:tc>
          <w:tcPr>
            <w:tcW w:w="1927" w:type="dxa"/>
            <w:shd w:val="clear" w:color="auto" w:fill="auto"/>
          </w:tcPr>
          <w:p w14:paraId="727D65B2" w14:textId="77777777" w:rsidR="00086EAE" w:rsidRPr="0054344B" w:rsidRDefault="00086EAE" w:rsidP="00130435">
            <w:pPr>
              <w:rPr>
                <w:rFonts w:eastAsia="MS Mincho"/>
                <w:sz w:val="20"/>
                <w:szCs w:val="20"/>
              </w:rPr>
            </w:pPr>
            <w:r w:rsidRPr="0054344B">
              <w:rPr>
                <w:rFonts w:eastAsia="MS Mincho"/>
                <w:sz w:val="20"/>
                <w:szCs w:val="20"/>
              </w:rPr>
              <w:t>1</w:t>
            </w:r>
          </w:p>
        </w:tc>
      </w:tr>
      <w:tr w:rsidR="00086EAE" w:rsidRPr="0054344B" w14:paraId="2157BA39" w14:textId="77777777" w:rsidTr="00E25502">
        <w:trPr>
          <w:gridAfter w:val="2"/>
          <w:wAfter w:w="2682" w:type="dxa"/>
          <w:trHeight w:val="57"/>
          <w:jc w:val="center"/>
        </w:trPr>
        <w:tc>
          <w:tcPr>
            <w:tcW w:w="1915" w:type="dxa"/>
            <w:shd w:val="clear" w:color="auto" w:fill="auto"/>
          </w:tcPr>
          <w:p w14:paraId="2DBD8FA3" w14:textId="77777777" w:rsidR="00086EAE" w:rsidRPr="0054344B" w:rsidRDefault="00086EAE" w:rsidP="00130435">
            <w:pPr>
              <w:rPr>
                <w:rFonts w:eastAsia="MS Mincho"/>
                <w:b/>
                <w:sz w:val="20"/>
                <w:szCs w:val="20"/>
              </w:rPr>
            </w:pPr>
          </w:p>
        </w:tc>
        <w:tc>
          <w:tcPr>
            <w:tcW w:w="1990" w:type="dxa"/>
            <w:shd w:val="clear" w:color="auto" w:fill="auto"/>
          </w:tcPr>
          <w:p w14:paraId="5C3C3196" w14:textId="77777777" w:rsidR="00086EAE" w:rsidRPr="0054344B" w:rsidRDefault="00086EAE" w:rsidP="00130435">
            <w:pPr>
              <w:rPr>
                <w:rFonts w:eastAsia="MS Mincho"/>
                <w:sz w:val="20"/>
                <w:szCs w:val="20"/>
              </w:rPr>
            </w:pPr>
            <w:r w:rsidRPr="0054344B">
              <w:rPr>
                <w:rFonts w:eastAsia="MS Mincho"/>
                <w:sz w:val="20"/>
                <w:szCs w:val="20"/>
              </w:rPr>
              <w:t xml:space="preserve">Does not exist </w:t>
            </w:r>
          </w:p>
        </w:tc>
        <w:tc>
          <w:tcPr>
            <w:tcW w:w="1927" w:type="dxa"/>
            <w:shd w:val="clear" w:color="auto" w:fill="auto"/>
          </w:tcPr>
          <w:p w14:paraId="0C472B60" w14:textId="77777777" w:rsidR="00086EAE" w:rsidRPr="0054344B" w:rsidRDefault="00086EAE" w:rsidP="00130435">
            <w:pPr>
              <w:rPr>
                <w:rFonts w:eastAsia="MS Mincho"/>
                <w:sz w:val="20"/>
                <w:szCs w:val="20"/>
              </w:rPr>
            </w:pPr>
            <w:r w:rsidRPr="0054344B">
              <w:rPr>
                <w:rFonts w:eastAsia="MS Mincho"/>
                <w:sz w:val="20"/>
                <w:szCs w:val="20"/>
              </w:rPr>
              <w:t>0</w:t>
            </w:r>
          </w:p>
        </w:tc>
      </w:tr>
      <w:tr w:rsidR="00086EAE" w:rsidRPr="0054344B" w14:paraId="19FD4229" w14:textId="77777777" w:rsidTr="00E25502">
        <w:trPr>
          <w:gridAfter w:val="2"/>
          <w:wAfter w:w="2682" w:type="dxa"/>
          <w:trHeight w:val="57"/>
          <w:jc w:val="center"/>
        </w:trPr>
        <w:tc>
          <w:tcPr>
            <w:tcW w:w="1915" w:type="dxa"/>
            <w:shd w:val="clear" w:color="auto" w:fill="auto"/>
          </w:tcPr>
          <w:p w14:paraId="3D8FE6F6" w14:textId="77777777" w:rsidR="00086EAE" w:rsidRPr="0054344B" w:rsidRDefault="00086EAE" w:rsidP="00130435">
            <w:pPr>
              <w:rPr>
                <w:rFonts w:eastAsia="MS Mincho"/>
                <w:b/>
                <w:sz w:val="20"/>
                <w:szCs w:val="20"/>
              </w:rPr>
            </w:pPr>
          </w:p>
        </w:tc>
        <w:tc>
          <w:tcPr>
            <w:tcW w:w="1990" w:type="dxa"/>
            <w:shd w:val="clear" w:color="auto" w:fill="auto"/>
          </w:tcPr>
          <w:p w14:paraId="549C456E" w14:textId="77777777" w:rsidR="00086EAE" w:rsidRPr="0054344B" w:rsidRDefault="00086EAE" w:rsidP="00130435">
            <w:pPr>
              <w:rPr>
                <w:rFonts w:eastAsia="MS Mincho"/>
                <w:sz w:val="20"/>
                <w:szCs w:val="20"/>
              </w:rPr>
            </w:pPr>
          </w:p>
        </w:tc>
        <w:tc>
          <w:tcPr>
            <w:tcW w:w="1927" w:type="dxa"/>
            <w:shd w:val="clear" w:color="auto" w:fill="auto"/>
          </w:tcPr>
          <w:p w14:paraId="0A20738B" w14:textId="77777777" w:rsidR="00086EAE" w:rsidRPr="0054344B" w:rsidRDefault="00086EAE" w:rsidP="00130435">
            <w:pPr>
              <w:rPr>
                <w:rFonts w:eastAsia="MS Mincho"/>
                <w:sz w:val="20"/>
                <w:szCs w:val="20"/>
              </w:rPr>
            </w:pPr>
          </w:p>
        </w:tc>
      </w:tr>
      <w:tr w:rsidR="00086EAE" w:rsidRPr="0054344B" w14:paraId="09181AE3" w14:textId="77777777" w:rsidTr="00E25502">
        <w:trPr>
          <w:gridAfter w:val="2"/>
          <w:wAfter w:w="2682" w:type="dxa"/>
          <w:trHeight w:val="57"/>
          <w:jc w:val="center"/>
        </w:trPr>
        <w:tc>
          <w:tcPr>
            <w:tcW w:w="1915" w:type="dxa"/>
            <w:shd w:val="clear" w:color="auto" w:fill="auto"/>
          </w:tcPr>
          <w:p w14:paraId="23DFEE3F" w14:textId="77777777" w:rsidR="00086EAE" w:rsidRPr="0054344B" w:rsidRDefault="00086EAE" w:rsidP="00130435">
            <w:pPr>
              <w:rPr>
                <w:rFonts w:eastAsia="MS Mincho"/>
                <w:b/>
                <w:sz w:val="20"/>
                <w:szCs w:val="20"/>
              </w:rPr>
            </w:pPr>
            <w:r w:rsidRPr="0054344B">
              <w:rPr>
                <w:rFonts w:eastAsia="MS Mincho"/>
                <w:b/>
                <w:sz w:val="20"/>
                <w:szCs w:val="20"/>
              </w:rPr>
              <w:t>Pre-financial crisis</w:t>
            </w:r>
          </w:p>
        </w:tc>
        <w:tc>
          <w:tcPr>
            <w:tcW w:w="1990" w:type="dxa"/>
            <w:shd w:val="clear" w:color="auto" w:fill="auto"/>
          </w:tcPr>
          <w:p w14:paraId="60C3A813" w14:textId="77777777" w:rsidR="00086EAE" w:rsidRPr="0054344B" w:rsidRDefault="00086EAE" w:rsidP="00130435">
            <w:pPr>
              <w:rPr>
                <w:rFonts w:eastAsia="MS Mincho"/>
                <w:sz w:val="20"/>
                <w:szCs w:val="20"/>
              </w:rPr>
            </w:pPr>
            <w:r w:rsidRPr="0054344B">
              <w:rPr>
                <w:rFonts w:eastAsia="MS Mincho"/>
                <w:sz w:val="20"/>
                <w:szCs w:val="20"/>
              </w:rPr>
              <w:t>2000-2006</w:t>
            </w:r>
          </w:p>
        </w:tc>
        <w:tc>
          <w:tcPr>
            <w:tcW w:w="1927" w:type="dxa"/>
            <w:shd w:val="clear" w:color="auto" w:fill="auto"/>
          </w:tcPr>
          <w:p w14:paraId="4D13BBCA" w14:textId="77777777" w:rsidR="00086EAE" w:rsidRPr="0054344B" w:rsidRDefault="00086EAE" w:rsidP="00130435">
            <w:pPr>
              <w:rPr>
                <w:rFonts w:eastAsia="MS Mincho"/>
                <w:sz w:val="20"/>
                <w:szCs w:val="20"/>
              </w:rPr>
            </w:pPr>
            <w:r w:rsidRPr="0054344B">
              <w:rPr>
                <w:rFonts w:eastAsia="MS Mincho"/>
                <w:sz w:val="20"/>
                <w:szCs w:val="20"/>
              </w:rPr>
              <w:t>0</w:t>
            </w:r>
          </w:p>
        </w:tc>
      </w:tr>
      <w:tr w:rsidR="00086EAE" w:rsidRPr="0054344B" w14:paraId="3EDFFABF" w14:textId="77777777" w:rsidTr="00E25502">
        <w:trPr>
          <w:gridAfter w:val="2"/>
          <w:wAfter w:w="2682" w:type="dxa"/>
          <w:trHeight w:val="57"/>
          <w:jc w:val="center"/>
        </w:trPr>
        <w:tc>
          <w:tcPr>
            <w:tcW w:w="1915" w:type="dxa"/>
            <w:shd w:val="clear" w:color="auto" w:fill="auto"/>
          </w:tcPr>
          <w:p w14:paraId="7CCC3C85" w14:textId="77777777" w:rsidR="00086EAE" w:rsidRPr="0054344B" w:rsidRDefault="00086EAE" w:rsidP="00130435">
            <w:pPr>
              <w:rPr>
                <w:rFonts w:eastAsia="MS Mincho"/>
                <w:b/>
                <w:sz w:val="20"/>
                <w:szCs w:val="20"/>
              </w:rPr>
            </w:pPr>
            <w:r w:rsidRPr="0054344B">
              <w:rPr>
                <w:rFonts w:eastAsia="MS Mincho"/>
                <w:b/>
                <w:sz w:val="20"/>
                <w:szCs w:val="20"/>
              </w:rPr>
              <w:t>Financial crisis period</w:t>
            </w:r>
          </w:p>
          <w:p w14:paraId="423AB426" w14:textId="77777777" w:rsidR="00086EAE" w:rsidRPr="0054344B" w:rsidRDefault="00086EAE" w:rsidP="00130435">
            <w:pPr>
              <w:rPr>
                <w:rFonts w:eastAsia="MS Mincho"/>
                <w:b/>
                <w:sz w:val="20"/>
                <w:szCs w:val="20"/>
              </w:rPr>
            </w:pPr>
          </w:p>
        </w:tc>
        <w:tc>
          <w:tcPr>
            <w:tcW w:w="1990" w:type="dxa"/>
            <w:shd w:val="clear" w:color="auto" w:fill="auto"/>
          </w:tcPr>
          <w:p w14:paraId="611DFD21" w14:textId="77777777" w:rsidR="00086EAE" w:rsidRPr="0054344B" w:rsidRDefault="00086EAE" w:rsidP="00130435">
            <w:pPr>
              <w:rPr>
                <w:rFonts w:eastAsia="MS Mincho"/>
                <w:sz w:val="20"/>
                <w:szCs w:val="20"/>
              </w:rPr>
            </w:pPr>
            <w:r w:rsidRPr="0054344B">
              <w:rPr>
                <w:rFonts w:eastAsia="MS Mincho"/>
                <w:sz w:val="20"/>
                <w:szCs w:val="20"/>
              </w:rPr>
              <w:t>2007-2008</w:t>
            </w:r>
          </w:p>
        </w:tc>
        <w:tc>
          <w:tcPr>
            <w:tcW w:w="1927" w:type="dxa"/>
            <w:shd w:val="clear" w:color="auto" w:fill="auto"/>
          </w:tcPr>
          <w:p w14:paraId="5684C755" w14:textId="77777777" w:rsidR="00086EAE" w:rsidRPr="0054344B" w:rsidRDefault="00086EAE" w:rsidP="00130435">
            <w:pPr>
              <w:rPr>
                <w:rFonts w:eastAsia="MS Mincho"/>
                <w:sz w:val="20"/>
                <w:szCs w:val="20"/>
              </w:rPr>
            </w:pPr>
            <w:r w:rsidRPr="0054344B">
              <w:rPr>
                <w:rFonts w:eastAsia="MS Mincho"/>
                <w:sz w:val="20"/>
                <w:szCs w:val="20"/>
              </w:rPr>
              <w:t>-</w:t>
            </w:r>
          </w:p>
        </w:tc>
      </w:tr>
      <w:tr w:rsidR="00086EAE" w:rsidRPr="0054344B" w14:paraId="01C59B2A" w14:textId="77777777" w:rsidTr="00E25502">
        <w:trPr>
          <w:gridAfter w:val="2"/>
          <w:wAfter w:w="2682" w:type="dxa"/>
          <w:trHeight w:val="57"/>
          <w:jc w:val="center"/>
        </w:trPr>
        <w:tc>
          <w:tcPr>
            <w:tcW w:w="1915" w:type="dxa"/>
            <w:shd w:val="clear" w:color="auto" w:fill="auto"/>
          </w:tcPr>
          <w:p w14:paraId="31A33652" w14:textId="77777777" w:rsidR="00086EAE" w:rsidRPr="0054344B" w:rsidRDefault="00086EAE" w:rsidP="00130435">
            <w:pPr>
              <w:rPr>
                <w:rFonts w:eastAsia="MS Mincho"/>
                <w:b/>
                <w:sz w:val="20"/>
                <w:szCs w:val="20"/>
              </w:rPr>
            </w:pPr>
            <w:r w:rsidRPr="0054344B">
              <w:rPr>
                <w:rFonts w:eastAsia="MS Mincho"/>
                <w:b/>
                <w:sz w:val="20"/>
                <w:szCs w:val="20"/>
              </w:rPr>
              <w:t>Post-financial crisis</w:t>
            </w:r>
          </w:p>
        </w:tc>
        <w:tc>
          <w:tcPr>
            <w:tcW w:w="1990" w:type="dxa"/>
            <w:shd w:val="clear" w:color="auto" w:fill="auto"/>
          </w:tcPr>
          <w:p w14:paraId="5D67C5D3" w14:textId="77777777" w:rsidR="00086EAE" w:rsidRPr="0054344B" w:rsidRDefault="00086EAE" w:rsidP="00130435">
            <w:pPr>
              <w:rPr>
                <w:rFonts w:eastAsia="MS Mincho"/>
                <w:sz w:val="20"/>
                <w:szCs w:val="20"/>
              </w:rPr>
            </w:pPr>
            <w:r w:rsidRPr="0054344B">
              <w:rPr>
                <w:rFonts w:eastAsia="MS Mincho"/>
                <w:sz w:val="20"/>
                <w:szCs w:val="20"/>
              </w:rPr>
              <w:t xml:space="preserve">2009-2011 </w:t>
            </w:r>
          </w:p>
        </w:tc>
        <w:tc>
          <w:tcPr>
            <w:tcW w:w="1927" w:type="dxa"/>
            <w:shd w:val="clear" w:color="auto" w:fill="auto"/>
          </w:tcPr>
          <w:p w14:paraId="711D07EA" w14:textId="77777777" w:rsidR="00086EAE" w:rsidRPr="0054344B" w:rsidRDefault="00086EAE" w:rsidP="00130435">
            <w:pPr>
              <w:rPr>
                <w:rFonts w:eastAsia="MS Mincho"/>
                <w:sz w:val="20"/>
                <w:szCs w:val="20"/>
              </w:rPr>
            </w:pPr>
            <w:r w:rsidRPr="0054344B">
              <w:rPr>
                <w:rFonts w:eastAsia="MS Mincho"/>
                <w:sz w:val="20"/>
                <w:szCs w:val="20"/>
              </w:rPr>
              <w:t>1</w:t>
            </w:r>
          </w:p>
        </w:tc>
      </w:tr>
    </w:tbl>
    <w:p w14:paraId="48E10AF3" w14:textId="77777777" w:rsidR="00D27441" w:rsidRDefault="00D27441" w:rsidP="00130435">
      <w:pPr>
        <w:rPr>
          <w:rFonts w:ascii="Calibri Light" w:hAnsi="Calibri Light"/>
          <w:b/>
        </w:rPr>
      </w:pPr>
    </w:p>
    <w:p w14:paraId="0318F3A2" w14:textId="77777777" w:rsidR="00130435" w:rsidRDefault="00130435" w:rsidP="00130435">
      <w:pPr>
        <w:rPr>
          <w:rFonts w:ascii="Calibri Light" w:hAnsi="Calibri Light"/>
          <w:b/>
        </w:rPr>
      </w:pPr>
    </w:p>
    <w:p w14:paraId="6F472E25" w14:textId="77777777" w:rsidR="00130435" w:rsidRDefault="00130435" w:rsidP="00130435">
      <w:pPr>
        <w:rPr>
          <w:rFonts w:ascii="Calibri Light" w:hAnsi="Calibri Light"/>
          <w:b/>
        </w:rPr>
      </w:pPr>
    </w:p>
    <w:p w14:paraId="18C2264D" w14:textId="77777777" w:rsidR="00130435" w:rsidRDefault="00130435" w:rsidP="00130435">
      <w:pPr>
        <w:rPr>
          <w:rFonts w:ascii="Calibri Light" w:hAnsi="Calibri Light"/>
          <w:b/>
        </w:rPr>
      </w:pPr>
    </w:p>
    <w:p w14:paraId="6B440EE5" w14:textId="77777777" w:rsidR="00130435" w:rsidRDefault="00130435" w:rsidP="00130435">
      <w:pPr>
        <w:rPr>
          <w:rFonts w:ascii="Calibri Light" w:hAnsi="Calibri Light"/>
          <w:b/>
        </w:rPr>
      </w:pPr>
    </w:p>
    <w:p w14:paraId="2CFC4680" w14:textId="77777777" w:rsidR="00130435" w:rsidRDefault="00130435" w:rsidP="00130435">
      <w:pPr>
        <w:rPr>
          <w:rFonts w:ascii="Calibri Light" w:hAnsi="Calibri Light"/>
          <w:b/>
        </w:rPr>
      </w:pPr>
    </w:p>
    <w:p w14:paraId="65297823" w14:textId="77777777" w:rsidR="00130435" w:rsidRDefault="00130435" w:rsidP="00130435">
      <w:pPr>
        <w:rPr>
          <w:rFonts w:ascii="Calibri Light" w:hAnsi="Calibri Light"/>
          <w:b/>
        </w:rPr>
      </w:pPr>
    </w:p>
    <w:p w14:paraId="02F2B62D" w14:textId="77777777" w:rsidR="00130435" w:rsidRDefault="00130435" w:rsidP="00130435">
      <w:pPr>
        <w:rPr>
          <w:rFonts w:ascii="Calibri Light" w:hAnsi="Calibri Light"/>
          <w:b/>
        </w:rPr>
      </w:pPr>
    </w:p>
    <w:p w14:paraId="34439F8F" w14:textId="77777777" w:rsidR="00130435" w:rsidRDefault="00130435" w:rsidP="00130435">
      <w:pPr>
        <w:rPr>
          <w:rFonts w:ascii="Calibri Light" w:hAnsi="Calibri Light"/>
          <w:b/>
        </w:rPr>
      </w:pPr>
    </w:p>
    <w:p w14:paraId="214D082C" w14:textId="77777777" w:rsidR="00130435" w:rsidRDefault="00130435" w:rsidP="00130435">
      <w:pPr>
        <w:rPr>
          <w:rFonts w:ascii="Calibri Light" w:hAnsi="Calibri Light"/>
          <w:b/>
        </w:rPr>
      </w:pPr>
    </w:p>
    <w:p w14:paraId="233F3496" w14:textId="77777777" w:rsidR="00130435" w:rsidRDefault="00130435" w:rsidP="00130435">
      <w:pPr>
        <w:rPr>
          <w:rFonts w:ascii="Calibri Light" w:hAnsi="Calibri Light"/>
          <w:b/>
        </w:rPr>
      </w:pPr>
    </w:p>
    <w:p w14:paraId="7C6DF673" w14:textId="77777777" w:rsidR="00086EAE" w:rsidRPr="00130435" w:rsidRDefault="00086EAE" w:rsidP="00130435">
      <w:pPr>
        <w:rPr>
          <w:b/>
        </w:rPr>
      </w:pPr>
      <w:bookmarkStart w:id="3" w:name="_Hlk505934775"/>
      <w:r w:rsidRPr="00130435">
        <w:rPr>
          <w:b/>
        </w:rPr>
        <w:lastRenderedPageBreak/>
        <w:t>Table 2: Summary of definitions and explanation of variables</w:t>
      </w:r>
    </w:p>
    <w:p w14:paraId="21948261" w14:textId="77777777" w:rsidR="00086EAE" w:rsidRPr="0054344B" w:rsidRDefault="00086EAE" w:rsidP="00130435">
      <w:pPr>
        <w:rPr>
          <w:b/>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6537"/>
      </w:tblGrid>
      <w:tr w:rsidR="00086EAE" w:rsidRPr="0054344B" w14:paraId="355AA5A2" w14:textId="77777777" w:rsidTr="00E25502">
        <w:trPr>
          <w:trHeight w:val="57"/>
          <w:jc w:val="center"/>
        </w:trPr>
        <w:tc>
          <w:tcPr>
            <w:tcW w:w="1918" w:type="dxa"/>
          </w:tcPr>
          <w:p w14:paraId="595A8C98" w14:textId="77777777" w:rsidR="00086EAE" w:rsidRPr="0054344B" w:rsidRDefault="00086EAE" w:rsidP="00130435">
            <w:pPr>
              <w:pStyle w:val="FootnoteText"/>
              <w:jc w:val="both"/>
              <w:rPr>
                <w:rFonts w:ascii="Times New Roman" w:hAnsi="Times New Roman"/>
                <w:b/>
                <w:i/>
              </w:rPr>
            </w:pPr>
            <w:r w:rsidRPr="0054344B">
              <w:rPr>
                <w:rFonts w:ascii="Times New Roman" w:hAnsi="Times New Roman"/>
                <w:b/>
                <w:i/>
              </w:rPr>
              <w:t>Dependent Variables</w:t>
            </w:r>
          </w:p>
        </w:tc>
        <w:tc>
          <w:tcPr>
            <w:tcW w:w="6372" w:type="dxa"/>
          </w:tcPr>
          <w:p w14:paraId="01D07665" w14:textId="77777777" w:rsidR="00086EAE" w:rsidRPr="0054344B" w:rsidRDefault="00086EAE" w:rsidP="00130435">
            <w:pPr>
              <w:jc w:val="both"/>
              <w:rPr>
                <w:sz w:val="20"/>
                <w:szCs w:val="20"/>
              </w:rPr>
            </w:pPr>
            <w:r w:rsidRPr="0054344B">
              <w:rPr>
                <w:sz w:val="20"/>
                <w:szCs w:val="20"/>
              </w:rPr>
              <w:t xml:space="preserve"> </w:t>
            </w:r>
          </w:p>
        </w:tc>
      </w:tr>
      <w:tr w:rsidR="00086EAE" w:rsidRPr="0054344B" w14:paraId="09523966" w14:textId="77777777" w:rsidTr="00E25502">
        <w:trPr>
          <w:trHeight w:val="57"/>
          <w:jc w:val="center"/>
        </w:trPr>
        <w:tc>
          <w:tcPr>
            <w:tcW w:w="1918" w:type="dxa"/>
          </w:tcPr>
          <w:p w14:paraId="71910062" w14:textId="77777777" w:rsidR="00086EAE" w:rsidRPr="0054344B" w:rsidRDefault="00086EAE" w:rsidP="00130435">
            <w:pPr>
              <w:jc w:val="both"/>
              <w:rPr>
                <w:i/>
                <w:sz w:val="20"/>
                <w:szCs w:val="20"/>
              </w:rPr>
            </w:pPr>
            <w:r w:rsidRPr="0054344B">
              <w:rPr>
                <w:i/>
                <w:sz w:val="20"/>
                <w:szCs w:val="20"/>
              </w:rPr>
              <w:t>Tobin’s Q (Tobin’s Q)</w:t>
            </w:r>
          </w:p>
          <w:p w14:paraId="62C899D9" w14:textId="77777777" w:rsidR="00086EAE" w:rsidRPr="0054344B" w:rsidRDefault="00086EAE" w:rsidP="00130435">
            <w:pPr>
              <w:pStyle w:val="FootnoteText"/>
              <w:jc w:val="both"/>
              <w:rPr>
                <w:rFonts w:ascii="Times New Roman" w:hAnsi="Times New Roman"/>
                <w:b/>
              </w:rPr>
            </w:pPr>
          </w:p>
        </w:tc>
        <w:tc>
          <w:tcPr>
            <w:tcW w:w="6372" w:type="dxa"/>
          </w:tcPr>
          <w:p w14:paraId="44C3098D" w14:textId="77777777" w:rsidR="00086EAE" w:rsidRPr="0054344B" w:rsidRDefault="00086EAE" w:rsidP="00130435">
            <w:pPr>
              <w:jc w:val="both"/>
              <w:rPr>
                <w:sz w:val="20"/>
                <w:szCs w:val="20"/>
              </w:rPr>
            </w:pPr>
            <w:r w:rsidRPr="0054344B">
              <w:rPr>
                <w:sz w:val="20"/>
                <w:szCs w:val="20"/>
              </w:rPr>
              <w:t xml:space="preserve">Tobin’s Q (Tobin’s Q) is defined as the market value of equity plus the book value of total assets minus the book value of equity divided by the book value of total assets (Chung and Pruitt, 1994; Beiner et al., 2006). </w:t>
            </w:r>
          </w:p>
        </w:tc>
      </w:tr>
      <w:tr w:rsidR="00086EAE" w:rsidRPr="0054344B" w14:paraId="2629D92B" w14:textId="77777777" w:rsidTr="00E25502">
        <w:trPr>
          <w:trHeight w:val="57"/>
          <w:jc w:val="center"/>
        </w:trPr>
        <w:tc>
          <w:tcPr>
            <w:tcW w:w="8290" w:type="dxa"/>
            <w:gridSpan w:val="2"/>
          </w:tcPr>
          <w:p w14:paraId="3270A2FF" w14:textId="77777777" w:rsidR="00086EAE" w:rsidRPr="0054344B" w:rsidRDefault="00086EAE" w:rsidP="00130435">
            <w:pPr>
              <w:pStyle w:val="FootnoteText"/>
              <w:jc w:val="both"/>
              <w:rPr>
                <w:rFonts w:ascii="Times New Roman" w:hAnsi="Times New Roman"/>
                <w:b/>
              </w:rPr>
            </w:pPr>
            <w:r w:rsidRPr="0054344B">
              <w:rPr>
                <w:rFonts w:ascii="Times New Roman" w:hAnsi="Times New Roman"/>
                <w:b/>
                <w:i/>
              </w:rPr>
              <w:t>Independent variable:</w:t>
            </w:r>
          </w:p>
        </w:tc>
      </w:tr>
      <w:tr w:rsidR="00086EAE" w:rsidRPr="0054344B" w14:paraId="54DFC125" w14:textId="77777777" w:rsidTr="00E25502">
        <w:trPr>
          <w:trHeight w:val="57"/>
          <w:jc w:val="center"/>
        </w:trPr>
        <w:tc>
          <w:tcPr>
            <w:tcW w:w="1918" w:type="dxa"/>
          </w:tcPr>
          <w:p w14:paraId="2E7D19DE" w14:textId="77777777" w:rsidR="00086EAE" w:rsidRPr="0054344B" w:rsidRDefault="00A23F25" w:rsidP="00130435">
            <w:pPr>
              <w:pStyle w:val="FootnoteText"/>
              <w:rPr>
                <w:rFonts w:ascii="Times New Roman" w:hAnsi="Times New Roman"/>
                <w:i/>
              </w:rPr>
            </w:pPr>
            <w:r w:rsidRPr="0054344B">
              <w:rPr>
                <w:rFonts w:ascii="Times New Roman" w:hAnsi="Times New Roman"/>
                <w:i/>
              </w:rPr>
              <w:t>Audit Committee</w:t>
            </w:r>
            <w:proofErr w:type="gramStart"/>
            <w:r w:rsidRPr="0054344B">
              <w:rPr>
                <w:rFonts w:ascii="Times New Roman" w:hAnsi="Times New Roman"/>
                <w:i/>
              </w:rPr>
              <w:t>:  (</w:t>
            </w:r>
            <w:proofErr w:type="gramEnd"/>
            <w:r w:rsidRPr="0054344B">
              <w:rPr>
                <w:rFonts w:ascii="Times New Roman" w:hAnsi="Times New Roman"/>
                <w:i/>
              </w:rPr>
              <w:t>AC</w:t>
            </w:r>
            <w:r w:rsidR="00086EAE" w:rsidRPr="0054344B">
              <w:rPr>
                <w:rFonts w:ascii="Times New Roman" w:hAnsi="Times New Roman"/>
                <w:i/>
              </w:rPr>
              <w:t>)</w:t>
            </w:r>
          </w:p>
        </w:tc>
        <w:tc>
          <w:tcPr>
            <w:tcW w:w="6372" w:type="dxa"/>
          </w:tcPr>
          <w:p w14:paraId="10562BEC" w14:textId="77777777" w:rsidR="00086EAE" w:rsidRPr="0054344B" w:rsidRDefault="00086EAE" w:rsidP="00130435">
            <w:pPr>
              <w:pStyle w:val="FootnoteText"/>
              <w:jc w:val="both"/>
              <w:rPr>
                <w:rFonts w:ascii="Times New Roman" w:hAnsi="Times New Roman"/>
              </w:rPr>
            </w:pPr>
            <w:r w:rsidRPr="0054344B">
              <w:rPr>
                <w:rFonts w:ascii="Times New Roman" w:hAnsi="Times New Roman"/>
              </w:rPr>
              <w:t>The audit committee</w:t>
            </w:r>
            <w:r w:rsidR="00A23F25" w:rsidRPr="0054344B">
              <w:rPr>
                <w:rFonts w:ascii="Times New Roman" w:hAnsi="Times New Roman"/>
              </w:rPr>
              <w:t xml:space="preserve"> (AC)</w:t>
            </w:r>
            <w:r w:rsidRPr="0054344B">
              <w:rPr>
                <w:rFonts w:ascii="Times New Roman" w:hAnsi="Times New Roman"/>
              </w:rPr>
              <w:t xml:space="preserve"> is the independent variable (see for example; Smith review, 2003, Walker review, 2009). If the firm has</w:t>
            </w:r>
            <w:r w:rsidR="00654199" w:rsidRPr="0054344B">
              <w:rPr>
                <w:rFonts w:ascii="Times New Roman" w:hAnsi="Times New Roman"/>
              </w:rPr>
              <w:t xml:space="preserve"> an</w:t>
            </w:r>
            <w:r w:rsidRPr="0054344B">
              <w:rPr>
                <w:rFonts w:ascii="Times New Roman" w:hAnsi="Times New Roman"/>
              </w:rPr>
              <w:t xml:space="preserve"> audit committee </w:t>
            </w:r>
            <w:r w:rsidR="00654199" w:rsidRPr="0054344B">
              <w:rPr>
                <w:rFonts w:ascii="Times New Roman" w:hAnsi="Times New Roman"/>
              </w:rPr>
              <w:t xml:space="preserve">it </w:t>
            </w:r>
            <w:r w:rsidRPr="0054344B">
              <w:rPr>
                <w:rFonts w:ascii="Times New Roman" w:hAnsi="Times New Roman"/>
              </w:rPr>
              <w:t xml:space="preserve">is </w:t>
            </w:r>
            <w:r w:rsidR="00654199" w:rsidRPr="0054344B">
              <w:rPr>
                <w:rFonts w:ascii="Times New Roman" w:hAnsi="Times New Roman"/>
              </w:rPr>
              <w:t xml:space="preserve">given a value of </w:t>
            </w:r>
            <w:r w:rsidRPr="0054344B">
              <w:rPr>
                <w:rFonts w:ascii="Times New Roman" w:hAnsi="Times New Roman"/>
              </w:rPr>
              <w:t>1</w:t>
            </w:r>
            <w:r w:rsidR="00654199" w:rsidRPr="0054344B">
              <w:rPr>
                <w:rFonts w:ascii="Times New Roman" w:hAnsi="Times New Roman"/>
              </w:rPr>
              <w:t>, if it has no AC</w:t>
            </w:r>
            <w:r w:rsidRPr="0054344B">
              <w:rPr>
                <w:rFonts w:ascii="Times New Roman" w:hAnsi="Times New Roman"/>
              </w:rPr>
              <w:t xml:space="preserve"> </w:t>
            </w:r>
            <w:r w:rsidR="00654199" w:rsidRPr="0054344B">
              <w:rPr>
                <w:rFonts w:ascii="Times New Roman" w:hAnsi="Times New Roman"/>
              </w:rPr>
              <w:t xml:space="preserve">it has a value of </w:t>
            </w:r>
            <w:r w:rsidRPr="0054344B">
              <w:rPr>
                <w:rFonts w:ascii="Times New Roman" w:hAnsi="Times New Roman"/>
              </w:rPr>
              <w:t>0</w:t>
            </w:r>
            <w:r w:rsidR="00654199" w:rsidRPr="0054344B">
              <w:rPr>
                <w:rFonts w:ascii="Times New Roman" w:hAnsi="Times New Roman"/>
              </w:rPr>
              <w:t>.</w:t>
            </w:r>
          </w:p>
        </w:tc>
      </w:tr>
      <w:tr w:rsidR="00086EAE" w:rsidRPr="0054344B" w14:paraId="7F01408F" w14:textId="77777777" w:rsidTr="00E25502">
        <w:trPr>
          <w:trHeight w:val="57"/>
          <w:jc w:val="center"/>
        </w:trPr>
        <w:tc>
          <w:tcPr>
            <w:tcW w:w="8290" w:type="dxa"/>
            <w:gridSpan w:val="2"/>
          </w:tcPr>
          <w:p w14:paraId="27017C10" w14:textId="77777777" w:rsidR="00086EAE" w:rsidRPr="0054344B" w:rsidRDefault="00086EAE" w:rsidP="00130435">
            <w:pPr>
              <w:pStyle w:val="FootnoteText"/>
              <w:jc w:val="both"/>
              <w:rPr>
                <w:rFonts w:ascii="Times New Roman" w:hAnsi="Times New Roman"/>
                <w:b/>
              </w:rPr>
            </w:pPr>
            <w:r w:rsidRPr="0054344B">
              <w:rPr>
                <w:rFonts w:ascii="Times New Roman" w:hAnsi="Times New Roman"/>
                <w:b/>
                <w:i/>
              </w:rPr>
              <w:t>Control Variables:</w:t>
            </w:r>
          </w:p>
        </w:tc>
      </w:tr>
      <w:tr w:rsidR="00086EAE" w:rsidRPr="0054344B" w14:paraId="5162DE9F" w14:textId="77777777" w:rsidTr="00E25502">
        <w:trPr>
          <w:trHeight w:val="57"/>
          <w:jc w:val="center"/>
        </w:trPr>
        <w:tc>
          <w:tcPr>
            <w:tcW w:w="1918" w:type="dxa"/>
          </w:tcPr>
          <w:p w14:paraId="6E16AA7A" w14:textId="77777777" w:rsidR="00086EAE" w:rsidRPr="0054344B" w:rsidRDefault="00086EAE" w:rsidP="00130435">
            <w:pPr>
              <w:pStyle w:val="FootnoteText"/>
              <w:jc w:val="both"/>
              <w:rPr>
                <w:rFonts w:ascii="Times New Roman" w:hAnsi="Times New Roman"/>
                <w:i/>
              </w:rPr>
            </w:pPr>
          </w:p>
          <w:p w14:paraId="76970653" w14:textId="77777777" w:rsidR="00086EAE" w:rsidRPr="0054344B" w:rsidRDefault="00086EAE" w:rsidP="00130435">
            <w:pPr>
              <w:pStyle w:val="FootnoteText"/>
              <w:jc w:val="both"/>
              <w:rPr>
                <w:rFonts w:ascii="Times New Roman" w:hAnsi="Times New Roman"/>
                <w:i/>
              </w:rPr>
            </w:pPr>
          </w:p>
          <w:p w14:paraId="1ADA8FAC" w14:textId="77777777" w:rsidR="00086EAE" w:rsidRPr="0054344B" w:rsidRDefault="00A23F25" w:rsidP="00130435">
            <w:pPr>
              <w:pStyle w:val="FootnoteText"/>
              <w:jc w:val="both"/>
              <w:rPr>
                <w:rFonts w:ascii="Times New Roman" w:hAnsi="Times New Roman"/>
                <w:b/>
              </w:rPr>
            </w:pPr>
            <w:r w:rsidRPr="0054344B">
              <w:rPr>
                <w:rFonts w:ascii="Times New Roman" w:hAnsi="Times New Roman"/>
                <w:i/>
              </w:rPr>
              <w:t>Growth: (GROWTH</w:t>
            </w:r>
            <w:r w:rsidR="00086EAE" w:rsidRPr="0054344B">
              <w:rPr>
                <w:rFonts w:ascii="Times New Roman" w:hAnsi="Times New Roman"/>
                <w:i/>
              </w:rPr>
              <w:t>)</w:t>
            </w:r>
          </w:p>
        </w:tc>
        <w:tc>
          <w:tcPr>
            <w:tcW w:w="6372" w:type="dxa"/>
          </w:tcPr>
          <w:p w14:paraId="4DC67427" w14:textId="77777777" w:rsidR="00086EAE" w:rsidRPr="0054344B" w:rsidRDefault="00086EAE" w:rsidP="00130435">
            <w:pPr>
              <w:pStyle w:val="FootnoteText"/>
              <w:jc w:val="both"/>
              <w:rPr>
                <w:rFonts w:ascii="Times New Roman" w:hAnsi="Times New Roman"/>
              </w:rPr>
            </w:pPr>
            <w:r w:rsidRPr="0054344B">
              <w:rPr>
                <w:rFonts w:ascii="Times New Roman" w:hAnsi="Times New Roman"/>
              </w:rPr>
              <w:t>Firm which have higher investment opportunities end up growing much faster (</w:t>
            </w:r>
            <w:proofErr w:type="spellStart"/>
            <w:r w:rsidRPr="0054344B">
              <w:rPr>
                <w:rFonts w:ascii="Times New Roman" w:hAnsi="Times New Roman"/>
              </w:rPr>
              <w:t>Durnev</w:t>
            </w:r>
            <w:proofErr w:type="spellEnd"/>
            <w:r w:rsidRPr="0054344B">
              <w:rPr>
                <w:rFonts w:ascii="Times New Roman" w:hAnsi="Times New Roman"/>
              </w:rPr>
              <w:t xml:space="preserve"> and Kim, 2005). A faster growing firm may receive higher valuation and better performance in the future (</w:t>
            </w:r>
            <w:proofErr w:type="spellStart"/>
            <w:r w:rsidRPr="0054344B">
              <w:rPr>
                <w:rFonts w:ascii="Times New Roman" w:hAnsi="Times New Roman"/>
              </w:rPr>
              <w:t>Klapper</w:t>
            </w:r>
            <w:proofErr w:type="spellEnd"/>
            <w:r w:rsidRPr="0054344B">
              <w:rPr>
                <w:rFonts w:ascii="Times New Roman" w:hAnsi="Times New Roman"/>
              </w:rPr>
              <w:t xml:space="preserve"> and Love, 2004).  Growth is the ratio of sales growth to total assets growth.</w:t>
            </w:r>
          </w:p>
        </w:tc>
      </w:tr>
      <w:tr w:rsidR="00086EAE" w:rsidRPr="0054344B" w14:paraId="48547AF8" w14:textId="77777777" w:rsidTr="00E25502">
        <w:trPr>
          <w:trHeight w:val="57"/>
          <w:jc w:val="center"/>
        </w:trPr>
        <w:tc>
          <w:tcPr>
            <w:tcW w:w="1918" w:type="dxa"/>
          </w:tcPr>
          <w:p w14:paraId="59036D86" w14:textId="77777777" w:rsidR="00086EAE" w:rsidRPr="0054344B" w:rsidRDefault="00086EAE" w:rsidP="00130435">
            <w:pPr>
              <w:pStyle w:val="FootnoteText"/>
              <w:jc w:val="both"/>
              <w:rPr>
                <w:rFonts w:ascii="Times New Roman" w:hAnsi="Times New Roman"/>
                <w:i/>
              </w:rPr>
            </w:pPr>
            <w:r w:rsidRPr="0054344B">
              <w:rPr>
                <w:rFonts w:ascii="Times New Roman" w:hAnsi="Times New Roman"/>
                <w:i/>
              </w:rPr>
              <w:t xml:space="preserve">Capital Structure </w:t>
            </w:r>
          </w:p>
          <w:p w14:paraId="738D9FDE" w14:textId="77777777" w:rsidR="00086EAE" w:rsidRPr="0054344B" w:rsidRDefault="00086EAE" w:rsidP="00130435">
            <w:pPr>
              <w:pStyle w:val="FootnoteText"/>
              <w:jc w:val="both"/>
              <w:rPr>
                <w:rFonts w:ascii="Times New Roman" w:hAnsi="Times New Roman"/>
                <w:i/>
              </w:rPr>
            </w:pPr>
            <w:r w:rsidRPr="0054344B">
              <w:rPr>
                <w:rFonts w:ascii="Times New Roman" w:hAnsi="Times New Roman"/>
                <w:i/>
              </w:rPr>
              <w:t>(LEV)</w:t>
            </w:r>
          </w:p>
          <w:p w14:paraId="1B3B00F6" w14:textId="77777777" w:rsidR="00086EAE" w:rsidRPr="0054344B" w:rsidRDefault="00086EAE" w:rsidP="00130435">
            <w:pPr>
              <w:pStyle w:val="FootnoteText"/>
              <w:jc w:val="both"/>
              <w:rPr>
                <w:rFonts w:ascii="Times New Roman" w:hAnsi="Times New Roman"/>
                <w:b/>
              </w:rPr>
            </w:pPr>
          </w:p>
        </w:tc>
        <w:tc>
          <w:tcPr>
            <w:tcW w:w="6372" w:type="dxa"/>
          </w:tcPr>
          <w:p w14:paraId="41A093D7" w14:textId="77777777" w:rsidR="00086EAE" w:rsidRPr="0054344B" w:rsidRDefault="00086EAE" w:rsidP="00130435">
            <w:pPr>
              <w:pStyle w:val="FootnoteText"/>
              <w:jc w:val="both"/>
              <w:rPr>
                <w:rFonts w:ascii="Times New Roman" w:hAnsi="Times New Roman"/>
              </w:rPr>
            </w:pPr>
            <w:r w:rsidRPr="0054344B">
              <w:rPr>
                <w:rFonts w:ascii="Times New Roman" w:hAnsi="Times New Roman"/>
              </w:rPr>
              <w:t xml:space="preserve">Modigliani and Miller (1963) suggested that a firm’s capital structure can have an impact on its profitability. Capital structure is the </w:t>
            </w:r>
            <w:r w:rsidR="00654199" w:rsidRPr="0054344B">
              <w:rPr>
                <w:rFonts w:ascii="Times New Roman" w:hAnsi="Times New Roman"/>
              </w:rPr>
              <w:t>p</w:t>
            </w:r>
            <w:r w:rsidRPr="0054344B">
              <w:rPr>
                <w:rFonts w:ascii="Times New Roman" w:hAnsi="Times New Roman"/>
              </w:rPr>
              <w:t>ercentage of total debt to total assets.</w:t>
            </w:r>
          </w:p>
        </w:tc>
      </w:tr>
      <w:tr w:rsidR="00086EAE" w:rsidRPr="0054344B" w14:paraId="0741BC0D" w14:textId="77777777" w:rsidTr="00E25502">
        <w:trPr>
          <w:trHeight w:val="57"/>
          <w:jc w:val="center"/>
        </w:trPr>
        <w:tc>
          <w:tcPr>
            <w:tcW w:w="1918" w:type="dxa"/>
          </w:tcPr>
          <w:p w14:paraId="6BFE4A17" w14:textId="77777777" w:rsidR="00086EAE" w:rsidRPr="0054344B" w:rsidRDefault="00086EAE" w:rsidP="00130435">
            <w:pPr>
              <w:pStyle w:val="FootnoteText"/>
              <w:jc w:val="both"/>
              <w:rPr>
                <w:rFonts w:ascii="Times New Roman" w:hAnsi="Times New Roman"/>
                <w:i/>
              </w:rPr>
            </w:pPr>
          </w:p>
          <w:p w14:paraId="156D57EF" w14:textId="77777777" w:rsidR="00086EAE" w:rsidRPr="0054344B" w:rsidRDefault="00086EAE" w:rsidP="00130435">
            <w:pPr>
              <w:pStyle w:val="FootnoteText"/>
              <w:jc w:val="both"/>
              <w:rPr>
                <w:rFonts w:ascii="Times New Roman" w:hAnsi="Times New Roman"/>
                <w:i/>
              </w:rPr>
            </w:pPr>
          </w:p>
          <w:p w14:paraId="1ED31DCE" w14:textId="77777777" w:rsidR="00086EAE" w:rsidRPr="0054344B" w:rsidRDefault="00086EAE" w:rsidP="00130435">
            <w:pPr>
              <w:pStyle w:val="FootnoteText"/>
              <w:jc w:val="both"/>
              <w:rPr>
                <w:rFonts w:ascii="Times New Roman" w:hAnsi="Times New Roman"/>
                <w:i/>
              </w:rPr>
            </w:pPr>
            <w:r w:rsidRPr="0054344B">
              <w:rPr>
                <w:rFonts w:ascii="Times New Roman" w:hAnsi="Times New Roman"/>
                <w:i/>
              </w:rPr>
              <w:t>Firm Size (FSIZE)</w:t>
            </w:r>
          </w:p>
          <w:p w14:paraId="242B213C" w14:textId="77777777" w:rsidR="00086EAE" w:rsidRPr="0054344B" w:rsidRDefault="00086EAE" w:rsidP="00130435">
            <w:pPr>
              <w:pStyle w:val="FootnoteText"/>
              <w:jc w:val="both"/>
              <w:rPr>
                <w:rFonts w:ascii="Times New Roman" w:hAnsi="Times New Roman"/>
                <w:b/>
              </w:rPr>
            </w:pPr>
          </w:p>
        </w:tc>
        <w:tc>
          <w:tcPr>
            <w:tcW w:w="6372" w:type="dxa"/>
          </w:tcPr>
          <w:p w14:paraId="25A6B385" w14:textId="77777777" w:rsidR="00086EAE" w:rsidRPr="0054344B" w:rsidRDefault="00086EAE" w:rsidP="00130435">
            <w:pPr>
              <w:pStyle w:val="FootnoteText"/>
              <w:jc w:val="both"/>
              <w:rPr>
                <w:rFonts w:ascii="Times New Roman" w:hAnsi="Times New Roman"/>
              </w:rPr>
            </w:pPr>
            <w:r w:rsidRPr="0054344B">
              <w:rPr>
                <w:rFonts w:ascii="Times New Roman" w:hAnsi="Times New Roman"/>
              </w:rPr>
              <w:t>Larger firms receive higher market valuation</w:t>
            </w:r>
            <w:r w:rsidR="00654199" w:rsidRPr="0054344B">
              <w:rPr>
                <w:rFonts w:ascii="Times New Roman" w:hAnsi="Times New Roman"/>
              </w:rPr>
              <w:t>s</w:t>
            </w:r>
            <w:r w:rsidRPr="0054344B">
              <w:rPr>
                <w:rFonts w:ascii="Times New Roman" w:hAnsi="Times New Roman"/>
              </w:rPr>
              <w:t xml:space="preserve"> and enjoy lower external capital cost</w:t>
            </w:r>
            <w:r w:rsidR="00654199" w:rsidRPr="0054344B">
              <w:rPr>
                <w:rFonts w:ascii="Times New Roman" w:hAnsi="Times New Roman"/>
              </w:rPr>
              <w:t>s</w:t>
            </w:r>
            <w:r w:rsidRPr="0054344B">
              <w:rPr>
                <w:rFonts w:ascii="Times New Roman" w:hAnsi="Times New Roman"/>
              </w:rPr>
              <w:t xml:space="preserve"> (</w:t>
            </w:r>
            <w:proofErr w:type="spellStart"/>
            <w:r w:rsidRPr="0054344B">
              <w:rPr>
                <w:rFonts w:ascii="Times New Roman" w:hAnsi="Times New Roman"/>
              </w:rPr>
              <w:t>Botosan</w:t>
            </w:r>
            <w:proofErr w:type="spellEnd"/>
            <w:r w:rsidRPr="0054344B">
              <w:rPr>
                <w:rFonts w:ascii="Times New Roman" w:hAnsi="Times New Roman"/>
              </w:rPr>
              <w:t xml:space="preserve">, 1997). Contrarily, </w:t>
            </w:r>
            <w:proofErr w:type="spellStart"/>
            <w:r w:rsidRPr="0054344B">
              <w:rPr>
                <w:rFonts w:ascii="Times New Roman" w:hAnsi="Times New Roman"/>
              </w:rPr>
              <w:t>Klapper</w:t>
            </w:r>
            <w:proofErr w:type="spellEnd"/>
            <w:r w:rsidRPr="0054344B">
              <w:rPr>
                <w:rFonts w:ascii="Times New Roman" w:hAnsi="Times New Roman"/>
              </w:rPr>
              <w:t xml:space="preserve"> and Love (2004) suggest that smaller firms tend towards better growth opportunities and greater external financing. Firm </w:t>
            </w:r>
            <w:r w:rsidR="00654199" w:rsidRPr="0054344B">
              <w:rPr>
                <w:rFonts w:ascii="Times New Roman" w:hAnsi="Times New Roman"/>
              </w:rPr>
              <w:t>s</w:t>
            </w:r>
            <w:r w:rsidRPr="0054344B">
              <w:rPr>
                <w:rFonts w:ascii="Times New Roman" w:hAnsi="Times New Roman"/>
              </w:rPr>
              <w:t>ize is the natural</w:t>
            </w:r>
            <w:r w:rsidR="00654199" w:rsidRPr="0054344B">
              <w:rPr>
                <w:rFonts w:ascii="Times New Roman" w:hAnsi="Times New Roman"/>
              </w:rPr>
              <w:t xml:space="preserve"> l</w:t>
            </w:r>
            <w:r w:rsidRPr="0054344B">
              <w:rPr>
                <w:rFonts w:ascii="Times New Roman" w:hAnsi="Times New Roman"/>
              </w:rPr>
              <w:t xml:space="preserve">og of total assets. </w:t>
            </w:r>
            <w:r w:rsidRPr="0054344B">
              <w:rPr>
                <w:rFonts w:ascii="Times New Roman" w:eastAsiaTheme="minorHAnsi" w:hAnsi="Times New Roman"/>
                <w:lang w:val="en-US"/>
              </w:rPr>
              <w:t>Karim et al. (2013)</w:t>
            </w:r>
            <w:r w:rsidRPr="0054344B">
              <w:rPr>
                <w:rFonts w:ascii="Times New Roman" w:hAnsi="Times New Roman"/>
                <w:lang w:val="en-US"/>
              </w:rPr>
              <w:t>, a large firm would want to employ a more highly regarded auditor. A large firm size has a bigger volume of transactions under audit.</w:t>
            </w:r>
          </w:p>
        </w:tc>
      </w:tr>
      <w:tr w:rsidR="00086EAE" w:rsidRPr="0054344B" w14:paraId="2636BF01" w14:textId="77777777" w:rsidTr="00E25502">
        <w:trPr>
          <w:trHeight w:val="57"/>
          <w:jc w:val="center"/>
        </w:trPr>
        <w:tc>
          <w:tcPr>
            <w:tcW w:w="1918" w:type="dxa"/>
          </w:tcPr>
          <w:p w14:paraId="7FD8042D" w14:textId="77777777" w:rsidR="00086EAE" w:rsidRPr="0054344B" w:rsidRDefault="00086EAE" w:rsidP="00130435">
            <w:pPr>
              <w:pStyle w:val="FootnoteText"/>
              <w:jc w:val="both"/>
              <w:rPr>
                <w:rFonts w:ascii="Times New Roman" w:hAnsi="Times New Roman"/>
                <w:i/>
              </w:rPr>
            </w:pPr>
          </w:p>
          <w:p w14:paraId="1D25412A" w14:textId="77777777" w:rsidR="00086EAE" w:rsidRPr="0054344B" w:rsidRDefault="00086EAE" w:rsidP="00130435">
            <w:pPr>
              <w:pStyle w:val="FootnoteText"/>
              <w:jc w:val="both"/>
              <w:rPr>
                <w:rFonts w:ascii="Times New Roman" w:hAnsi="Times New Roman"/>
                <w:b/>
              </w:rPr>
            </w:pPr>
            <w:r w:rsidRPr="0054344B">
              <w:rPr>
                <w:rFonts w:ascii="Times New Roman" w:hAnsi="Times New Roman"/>
                <w:i/>
              </w:rPr>
              <w:t>Big four (BIG4)</w:t>
            </w:r>
          </w:p>
        </w:tc>
        <w:tc>
          <w:tcPr>
            <w:tcW w:w="6372" w:type="dxa"/>
          </w:tcPr>
          <w:p w14:paraId="3941A3D4" w14:textId="77777777" w:rsidR="00086EAE" w:rsidRPr="0054344B" w:rsidRDefault="00086EAE" w:rsidP="00130435">
            <w:pPr>
              <w:pStyle w:val="FootnoteText"/>
              <w:jc w:val="both"/>
              <w:rPr>
                <w:rFonts w:ascii="Times New Roman" w:hAnsi="Times New Roman"/>
              </w:rPr>
            </w:pPr>
            <w:r w:rsidRPr="0054344B">
              <w:rPr>
                <w:rFonts w:ascii="Times New Roman" w:hAnsi="Times New Roman"/>
              </w:rPr>
              <w:t xml:space="preserve">1, if the firm is audited by a big four firm (PricewaterhouseCoopers, Deloitte &amp; </w:t>
            </w:r>
            <w:proofErr w:type="spellStart"/>
            <w:r w:rsidRPr="0054344B">
              <w:rPr>
                <w:rFonts w:ascii="Times New Roman" w:hAnsi="Times New Roman"/>
              </w:rPr>
              <w:t>Touche</w:t>
            </w:r>
            <w:proofErr w:type="spellEnd"/>
            <w:r w:rsidRPr="0054344B">
              <w:rPr>
                <w:rFonts w:ascii="Times New Roman" w:hAnsi="Times New Roman"/>
              </w:rPr>
              <w:t>, Ernst&amp; Young and KPMG), 0 otherwise.</w:t>
            </w:r>
          </w:p>
        </w:tc>
      </w:tr>
      <w:tr w:rsidR="00086EAE" w:rsidRPr="0054344B" w14:paraId="37310E4A" w14:textId="77777777" w:rsidTr="00E25502">
        <w:trPr>
          <w:trHeight w:val="57"/>
          <w:jc w:val="center"/>
        </w:trPr>
        <w:tc>
          <w:tcPr>
            <w:tcW w:w="1918" w:type="dxa"/>
          </w:tcPr>
          <w:p w14:paraId="1D4A4BAD" w14:textId="77777777" w:rsidR="00086EAE" w:rsidRPr="0054344B" w:rsidRDefault="00086EAE" w:rsidP="00130435">
            <w:pPr>
              <w:pStyle w:val="FootnoteText"/>
              <w:jc w:val="both"/>
              <w:rPr>
                <w:rFonts w:ascii="Times New Roman" w:hAnsi="Times New Roman"/>
                <w:i/>
              </w:rPr>
            </w:pPr>
          </w:p>
          <w:p w14:paraId="4645FC2C" w14:textId="77777777" w:rsidR="00086EAE" w:rsidRPr="0054344B" w:rsidRDefault="00086EAE" w:rsidP="00130435">
            <w:pPr>
              <w:pStyle w:val="FootnoteText"/>
              <w:jc w:val="both"/>
              <w:rPr>
                <w:rFonts w:ascii="Times New Roman" w:hAnsi="Times New Roman"/>
                <w:i/>
              </w:rPr>
            </w:pPr>
            <w:r w:rsidRPr="0054344B">
              <w:rPr>
                <w:rFonts w:ascii="Times New Roman" w:hAnsi="Times New Roman"/>
                <w:i/>
              </w:rPr>
              <w:t>Foreign/Dual-Listing (DUAL)</w:t>
            </w:r>
          </w:p>
          <w:p w14:paraId="05E7F30A" w14:textId="77777777" w:rsidR="00086EAE" w:rsidRPr="0054344B" w:rsidRDefault="00086EAE" w:rsidP="00130435">
            <w:pPr>
              <w:pStyle w:val="FootnoteText"/>
              <w:jc w:val="both"/>
              <w:rPr>
                <w:rFonts w:ascii="Times New Roman" w:hAnsi="Times New Roman"/>
                <w:b/>
              </w:rPr>
            </w:pPr>
          </w:p>
        </w:tc>
        <w:tc>
          <w:tcPr>
            <w:tcW w:w="6372" w:type="dxa"/>
          </w:tcPr>
          <w:p w14:paraId="2E636BF3" w14:textId="77777777" w:rsidR="00086EAE" w:rsidRPr="0054344B" w:rsidRDefault="00086EAE" w:rsidP="00130435">
            <w:pPr>
              <w:pStyle w:val="FootnoteText"/>
              <w:jc w:val="both"/>
              <w:rPr>
                <w:rFonts w:ascii="Times New Roman" w:hAnsi="Times New Roman"/>
              </w:rPr>
            </w:pPr>
            <w:r w:rsidRPr="0054344B">
              <w:rPr>
                <w:rFonts w:ascii="Times New Roman" w:hAnsi="Times New Roman"/>
              </w:rPr>
              <w:t>Firms that have a dual listing on foreign exchange are more likely to have better corporate governance structures. This is because they are subject to the additional accounting, governance and disclosure requirements of the foreign stock exchanges, which are cross-listed (</w:t>
            </w:r>
            <w:proofErr w:type="spellStart"/>
            <w:r w:rsidRPr="0054344B">
              <w:rPr>
                <w:rFonts w:ascii="Times New Roman" w:hAnsi="Times New Roman"/>
              </w:rPr>
              <w:t>Haniffa</w:t>
            </w:r>
            <w:proofErr w:type="spellEnd"/>
            <w:r w:rsidRPr="0054344B">
              <w:rPr>
                <w:rFonts w:ascii="Times New Roman" w:hAnsi="Times New Roman"/>
              </w:rPr>
              <w:t xml:space="preserve"> and Cooke, 2002; Black et al., 2006).  A dummy variable is used, if the firm is dual-listed 1 otherwise 0.</w:t>
            </w:r>
          </w:p>
        </w:tc>
      </w:tr>
      <w:tr w:rsidR="00086EAE" w:rsidRPr="0054344B" w14:paraId="04AC0B8F" w14:textId="77777777" w:rsidTr="00E25502">
        <w:trPr>
          <w:trHeight w:val="57"/>
          <w:jc w:val="center"/>
        </w:trPr>
        <w:tc>
          <w:tcPr>
            <w:tcW w:w="1918" w:type="dxa"/>
          </w:tcPr>
          <w:p w14:paraId="6FFDEB85" w14:textId="77777777" w:rsidR="00086EAE" w:rsidRPr="0054344B" w:rsidRDefault="00086EAE" w:rsidP="00130435">
            <w:pPr>
              <w:pStyle w:val="FootnoteText"/>
              <w:jc w:val="both"/>
              <w:rPr>
                <w:rFonts w:ascii="Times New Roman" w:hAnsi="Times New Roman"/>
                <w:i/>
              </w:rPr>
            </w:pPr>
            <w:r w:rsidRPr="0054344B">
              <w:rPr>
                <w:rFonts w:ascii="Times New Roman" w:hAnsi="Times New Roman"/>
                <w:i/>
              </w:rPr>
              <w:t>Industry (IND)</w:t>
            </w:r>
          </w:p>
          <w:p w14:paraId="7B4147D2" w14:textId="77777777" w:rsidR="00086EAE" w:rsidRPr="0054344B" w:rsidRDefault="00086EAE" w:rsidP="00130435">
            <w:pPr>
              <w:pStyle w:val="FootnoteText"/>
              <w:jc w:val="both"/>
              <w:rPr>
                <w:rFonts w:ascii="Times New Roman" w:hAnsi="Times New Roman"/>
                <w:b/>
              </w:rPr>
            </w:pPr>
          </w:p>
        </w:tc>
        <w:tc>
          <w:tcPr>
            <w:tcW w:w="6372" w:type="dxa"/>
          </w:tcPr>
          <w:p w14:paraId="126D42E5" w14:textId="77777777" w:rsidR="00086EAE" w:rsidRPr="0054344B" w:rsidRDefault="00086EAE" w:rsidP="00130435">
            <w:pPr>
              <w:pStyle w:val="FootnoteText"/>
              <w:jc w:val="both"/>
              <w:rPr>
                <w:rFonts w:ascii="Times New Roman" w:hAnsi="Times New Roman"/>
              </w:rPr>
            </w:pPr>
            <w:r w:rsidRPr="0054344B">
              <w:rPr>
                <w:rFonts w:ascii="Times New Roman" w:hAnsi="Times New Roman"/>
              </w:rPr>
              <w:t>This shows the sector a firm operates in. This research classifies financial institutions into 5-sectors/industries, namely: 1. Investment services</w:t>
            </w:r>
            <w:r w:rsidR="00654199" w:rsidRPr="0054344B">
              <w:rPr>
                <w:rFonts w:ascii="Times New Roman" w:hAnsi="Times New Roman"/>
              </w:rPr>
              <w:t>;</w:t>
            </w:r>
            <w:r w:rsidRPr="0054344B">
              <w:rPr>
                <w:rFonts w:ascii="Times New Roman" w:hAnsi="Times New Roman"/>
              </w:rPr>
              <w:t xml:space="preserve"> 2. Insurance</w:t>
            </w:r>
            <w:r w:rsidR="00654199" w:rsidRPr="0054344B">
              <w:rPr>
                <w:rFonts w:ascii="Times New Roman" w:hAnsi="Times New Roman"/>
              </w:rPr>
              <w:t>;</w:t>
            </w:r>
            <w:r w:rsidRPr="0054344B">
              <w:rPr>
                <w:rFonts w:ascii="Times New Roman" w:hAnsi="Times New Roman"/>
              </w:rPr>
              <w:t xml:space="preserve"> 3. Mortgages</w:t>
            </w:r>
            <w:r w:rsidR="00654199" w:rsidRPr="0054344B">
              <w:rPr>
                <w:rFonts w:ascii="Times New Roman" w:hAnsi="Times New Roman"/>
              </w:rPr>
              <w:t>;</w:t>
            </w:r>
            <w:r w:rsidRPr="0054344B">
              <w:rPr>
                <w:rFonts w:ascii="Times New Roman" w:hAnsi="Times New Roman"/>
              </w:rPr>
              <w:t xml:space="preserve"> 4.</w:t>
            </w:r>
            <w:r w:rsidR="00654199" w:rsidRPr="0054344B">
              <w:rPr>
                <w:rFonts w:ascii="Times New Roman" w:hAnsi="Times New Roman"/>
              </w:rPr>
              <w:t xml:space="preserve"> </w:t>
            </w:r>
            <w:r w:rsidRPr="0054344B">
              <w:rPr>
                <w:rFonts w:ascii="Times New Roman" w:hAnsi="Times New Roman"/>
              </w:rPr>
              <w:t>Investment Trust</w:t>
            </w:r>
            <w:r w:rsidR="00654199" w:rsidRPr="0054344B">
              <w:rPr>
                <w:rFonts w:ascii="Times New Roman" w:hAnsi="Times New Roman"/>
              </w:rPr>
              <w:t>;</w:t>
            </w:r>
            <w:r w:rsidRPr="0054344B">
              <w:rPr>
                <w:rFonts w:ascii="Times New Roman" w:hAnsi="Times New Roman"/>
              </w:rPr>
              <w:t xml:space="preserve"> 5. Banking Services.</w:t>
            </w:r>
          </w:p>
        </w:tc>
      </w:tr>
      <w:tr w:rsidR="00086EAE" w:rsidRPr="0054344B" w14:paraId="4B26B8C5" w14:textId="77777777" w:rsidTr="00E25502">
        <w:trPr>
          <w:trHeight w:val="57"/>
          <w:jc w:val="center"/>
        </w:trPr>
        <w:tc>
          <w:tcPr>
            <w:tcW w:w="1918" w:type="dxa"/>
            <w:tcBorders>
              <w:top w:val="single" w:sz="4" w:space="0" w:color="auto"/>
              <w:left w:val="single" w:sz="4" w:space="0" w:color="auto"/>
              <w:bottom w:val="single" w:sz="4" w:space="0" w:color="auto"/>
              <w:right w:val="single" w:sz="4" w:space="0" w:color="auto"/>
            </w:tcBorders>
          </w:tcPr>
          <w:p w14:paraId="5744218C" w14:textId="77777777" w:rsidR="00086EAE" w:rsidRPr="0054344B" w:rsidRDefault="00A23F25" w:rsidP="00130435">
            <w:pPr>
              <w:pStyle w:val="FootnoteText"/>
              <w:jc w:val="both"/>
              <w:rPr>
                <w:rFonts w:ascii="Times New Roman" w:hAnsi="Times New Roman"/>
                <w:i/>
              </w:rPr>
            </w:pPr>
            <w:r w:rsidRPr="0054344B">
              <w:rPr>
                <w:rFonts w:ascii="Times New Roman" w:hAnsi="Times New Roman"/>
                <w:i/>
              </w:rPr>
              <w:t>Year Dummy (YED</w:t>
            </w:r>
            <w:r w:rsidR="00086EAE" w:rsidRPr="0054344B">
              <w:rPr>
                <w:rFonts w:ascii="Times New Roman" w:hAnsi="Times New Roman"/>
                <w:i/>
              </w:rPr>
              <w:t>)</w:t>
            </w:r>
          </w:p>
          <w:p w14:paraId="6BC7E554" w14:textId="77777777" w:rsidR="00086EAE" w:rsidRPr="0054344B" w:rsidRDefault="00086EAE" w:rsidP="00130435">
            <w:pPr>
              <w:pStyle w:val="FootnoteText"/>
              <w:jc w:val="both"/>
              <w:rPr>
                <w:rFonts w:ascii="Times New Roman" w:hAnsi="Times New Roman"/>
                <w:i/>
              </w:rPr>
            </w:pPr>
          </w:p>
        </w:tc>
        <w:tc>
          <w:tcPr>
            <w:tcW w:w="6372" w:type="dxa"/>
            <w:tcBorders>
              <w:top w:val="single" w:sz="4" w:space="0" w:color="auto"/>
              <w:left w:val="single" w:sz="4" w:space="0" w:color="auto"/>
              <w:bottom w:val="single" w:sz="4" w:space="0" w:color="auto"/>
              <w:right w:val="single" w:sz="4" w:space="0" w:color="auto"/>
            </w:tcBorders>
          </w:tcPr>
          <w:p w14:paraId="6EB5AFD0" w14:textId="77777777" w:rsidR="00086EAE" w:rsidRPr="0054344B" w:rsidRDefault="00086EAE" w:rsidP="00130435">
            <w:pPr>
              <w:pStyle w:val="FootnoteText"/>
              <w:jc w:val="both"/>
              <w:rPr>
                <w:rFonts w:ascii="Times New Roman" w:hAnsi="Times New Roman"/>
              </w:rPr>
            </w:pPr>
            <w:r w:rsidRPr="0054344B">
              <w:rPr>
                <w:rFonts w:ascii="Times New Roman" w:hAnsi="Times New Roman"/>
              </w:rPr>
              <w:t>The time in a particular year in which a firm</w:t>
            </w:r>
            <w:r w:rsidR="00A23F25" w:rsidRPr="0054344B">
              <w:rPr>
                <w:rFonts w:ascii="Times New Roman" w:hAnsi="Times New Roman"/>
              </w:rPr>
              <w:t xml:space="preserve"> starts</w:t>
            </w:r>
            <w:r w:rsidRPr="0054344B">
              <w:rPr>
                <w:rFonts w:ascii="Times New Roman" w:hAnsi="Times New Roman"/>
              </w:rPr>
              <w:t xml:space="preserve"> business can have an impact on it</w:t>
            </w:r>
            <w:r w:rsidR="008B33FC" w:rsidRPr="0054344B">
              <w:rPr>
                <w:rFonts w:ascii="Times New Roman" w:hAnsi="Times New Roman"/>
              </w:rPr>
              <w:t>s</w:t>
            </w:r>
            <w:r w:rsidRPr="0054344B">
              <w:rPr>
                <w:rFonts w:ascii="Times New Roman" w:hAnsi="Times New Roman"/>
              </w:rPr>
              <w:t xml:space="preserve"> profitability. The years chosen for the research </w:t>
            </w:r>
            <w:r w:rsidR="00654199" w:rsidRPr="0054344B">
              <w:rPr>
                <w:rFonts w:ascii="Times New Roman" w:hAnsi="Times New Roman"/>
              </w:rPr>
              <w:t xml:space="preserve">run </w:t>
            </w:r>
            <w:r w:rsidRPr="0054344B">
              <w:rPr>
                <w:rFonts w:ascii="Times New Roman" w:hAnsi="Times New Roman"/>
              </w:rPr>
              <w:t>from 2000 to 2011. They are re</w:t>
            </w:r>
            <w:r w:rsidR="00A23F25" w:rsidRPr="0054344B">
              <w:rPr>
                <w:rFonts w:ascii="Times New Roman" w:hAnsi="Times New Roman"/>
              </w:rPr>
              <w:t>presented as follows: 2000 (YED); 2001 (YED); 2002 (YED); 2003 (YED); 2004 (YED</w:t>
            </w:r>
            <w:r w:rsidRPr="0054344B">
              <w:rPr>
                <w:rFonts w:ascii="Times New Roman" w:hAnsi="Times New Roman"/>
              </w:rPr>
              <w:t xml:space="preserve">); 2005 </w:t>
            </w:r>
            <w:r w:rsidR="00A23F25" w:rsidRPr="0054344B">
              <w:rPr>
                <w:rFonts w:ascii="Times New Roman" w:hAnsi="Times New Roman"/>
              </w:rPr>
              <w:t>(YED); 2006 (YED); 2007 (YED); 2008 (YED); 2009 (YED</w:t>
            </w:r>
            <w:r w:rsidRPr="0054344B">
              <w:rPr>
                <w:rFonts w:ascii="Times New Roman" w:hAnsi="Times New Roman"/>
              </w:rPr>
              <w:t>); 2010</w:t>
            </w:r>
            <w:r w:rsidR="00654199" w:rsidRPr="0054344B">
              <w:rPr>
                <w:rFonts w:ascii="Times New Roman" w:hAnsi="Times New Roman"/>
              </w:rPr>
              <w:t xml:space="preserve"> </w:t>
            </w:r>
            <w:r w:rsidR="00A23F25" w:rsidRPr="0054344B">
              <w:rPr>
                <w:rFonts w:ascii="Times New Roman" w:hAnsi="Times New Roman"/>
              </w:rPr>
              <w:t>(YED; 2011 (YED</w:t>
            </w:r>
            <w:r w:rsidRPr="0054344B">
              <w:rPr>
                <w:rFonts w:ascii="Times New Roman" w:hAnsi="Times New Roman"/>
              </w:rPr>
              <w:t>).</w:t>
            </w:r>
          </w:p>
        </w:tc>
      </w:tr>
    </w:tbl>
    <w:p w14:paraId="278B414C" w14:textId="77777777" w:rsidR="00086EAE" w:rsidRPr="0054344B" w:rsidRDefault="00086EAE" w:rsidP="00130435">
      <w:pPr>
        <w:rPr>
          <w:b/>
          <w:sz w:val="20"/>
          <w:szCs w:val="20"/>
        </w:rPr>
      </w:pPr>
    </w:p>
    <w:bookmarkEnd w:id="3"/>
    <w:p w14:paraId="2454D162" w14:textId="77777777" w:rsidR="00086EAE" w:rsidRPr="0054344B" w:rsidRDefault="00086EAE" w:rsidP="00130435">
      <w:pPr>
        <w:jc w:val="both"/>
        <w:rPr>
          <w:sz w:val="20"/>
          <w:szCs w:val="20"/>
        </w:rPr>
      </w:pPr>
    </w:p>
    <w:p w14:paraId="64F16F18" w14:textId="77777777" w:rsidR="00811EC1" w:rsidRPr="0054344B" w:rsidRDefault="00811EC1" w:rsidP="00130435">
      <w:pPr>
        <w:jc w:val="both"/>
        <w:rPr>
          <w:sz w:val="20"/>
          <w:szCs w:val="20"/>
        </w:rPr>
      </w:pPr>
    </w:p>
    <w:p w14:paraId="1D3FEB66" w14:textId="77777777" w:rsidR="00811EC1" w:rsidRPr="0054344B" w:rsidRDefault="00811EC1" w:rsidP="00130435">
      <w:pPr>
        <w:jc w:val="both"/>
        <w:rPr>
          <w:sz w:val="20"/>
          <w:szCs w:val="20"/>
        </w:rPr>
      </w:pPr>
    </w:p>
    <w:p w14:paraId="38366F50" w14:textId="77777777" w:rsidR="00811EC1" w:rsidRPr="0054344B" w:rsidRDefault="00811EC1" w:rsidP="00130435">
      <w:pPr>
        <w:jc w:val="both"/>
        <w:rPr>
          <w:sz w:val="20"/>
          <w:szCs w:val="20"/>
        </w:rPr>
      </w:pPr>
    </w:p>
    <w:p w14:paraId="1B591FF0" w14:textId="77777777" w:rsidR="00811EC1" w:rsidRPr="0054344B" w:rsidRDefault="00811EC1" w:rsidP="00086EAE">
      <w:pPr>
        <w:spacing w:line="240" w:lineRule="exact"/>
        <w:jc w:val="both"/>
        <w:rPr>
          <w:sz w:val="20"/>
          <w:szCs w:val="20"/>
        </w:rPr>
      </w:pPr>
    </w:p>
    <w:p w14:paraId="452B05CA" w14:textId="77777777" w:rsidR="00811EC1" w:rsidRPr="0054344B" w:rsidRDefault="00811EC1" w:rsidP="00086EAE">
      <w:pPr>
        <w:spacing w:line="240" w:lineRule="exact"/>
        <w:jc w:val="both"/>
        <w:rPr>
          <w:sz w:val="20"/>
          <w:szCs w:val="20"/>
        </w:rPr>
      </w:pPr>
    </w:p>
    <w:p w14:paraId="6BE4152F" w14:textId="77777777" w:rsidR="00E25502" w:rsidRDefault="00E25502">
      <w:pPr>
        <w:rPr>
          <w:b/>
        </w:rPr>
      </w:pPr>
      <w:r>
        <w:rPr>
          <w:b/>
        </w:rPr>
        <w:br w:type="page"/>
      </w:r>
    </w:p>
    <w:p w14:paraId="3E84A397" w14:textId="34DF0C35" w:rsidR="00086EAE" w:rsidRPr="0054344B" w:rsidRDefault="00086EAE" w:rsidP="00086EAE">
      <w:pPr>
        <w:rPr>
          <w:b/>
        </w:rPr>
      </w:pPr>
      <w:r w:rsidRPr="0054344B">
        <w:rPr>
          <w:b/>
        </w:rPr>
        <w:lastRenderedPageBreak/>
        <w:t>Table 3: Descriptive Statistics for all the variables</w:t>
      </w:r>
    </w:p>
    <w:p w14:paraId="2990CB5F" w14:textId="62462EB2" w:rsidR="008A3D47" w:rsidRPr="009201E7" w:rsidRDefault="008A3D47" w:rsidP="008A3D47">
      <w:pPr>
        <w:spacing w:line="360" w:lineRule="auto"/>
        <w:jc w:val="both"/>
        <w:rPr>
          <w:rFonts w:ascii="Times" w:hAnsi="Times"/>
          <w:b/>
          <w:i/>
        </w:rPr>
      </w:pPr>
    </w:p>
    <w:p w14:paraId="0E114394" w14:textId="77777777" w:rsidR="008A3D47" w:rsidRPr="009E2843" w:rsidRDefault="008A3D47" w:rsidP="008A3D47">
      <w:pPr>
        <w:widowControl w:val="0"/>
        <w:autoSpaceDE w:val="0"/>
        <w:autoSpaceDN w:val="0"/>
        <w:adjustRightInd w:val="0"/>
        <w:rPr>
          <w:rFonts w:ascii="Times" w:hAnsi="Times"/>
          <w:sz w:val="20"/>
          <w:szCs w:val="20"/>
        </w:rPr>
      </w:pPr>
      <w:r>
        <w:t xml:space="preserve">   </w:t>
      </w:r>
    </w:p>
    <w:tbl>
      <w:tblPr>
        <w:tblW w:w="8505" w:type="dxa"/>
        <w:jc w:val="center"/>
        <w:tblLayout w:type="fixed"/>
        <w:tblLook w:val="0000" w:firstRow="0" w:lastRow="0" w:firstColumn="0" w:lastColumn="0" w:noHBand="0" w:noVBand="0"/>
      </w:tblPr>
      <w:tblGrid>
        <w:gridCol w:w="1774"/>
        <w:gridCol w:w="1121"/>
        <w:gridCol w:w="1122"/>
        <w:gridCol w:w="1122"/>
        <w:gridCol w:w="1122"/>
        <w:gridCol w:w="1122"/>
        <w:gridCol w:w="1122"/>
      </w:tblGrid>
      <w:tr w:rsidR="008A3D47" w:rsidRPr="009201E7" w14:paraId="222F7848" w14:textId="77777777" w:rsidTr="008A3D47">
        <w:trPr>
          <w:trHeight w:hRule="exact" w:val="388"/>
          <w:jc w:val="center"/>
        </w:trPr>
        <w:tc>
          <w:tcPr>
            <w:tcW w:w="1873" w:type="dxa"/>
            <w:tcBorders>
              <w:top w:val="single" w:sz="4" w:space="0" w:color="auto"/>
              <w:left w:val="nil"/>
              <w:bottom w:val="nil"/>
              <w:right w:val="nil"/>
            </w:tcBorders>
          </w:tcPr>
          <w:p w14:paraId="475A46DA" w14:textId="77777777" w:rsidR="008A3D47" w:rsidRPr="009201E7" w:rsidRDefault="008A3D47" w:rsidP="008A3D47">
            <w:pPr>
              <w:widowControl w:val="0"/>
              <w:autoSpaceDE w:val="0"/>
              <w:autoSpaceDN w:val="0"/>
              <w:adjustRightInd w:val="0"/>
            </w:pPr>
          </w:p>
        </w:tc>
        <w:tc>
          <w:tcPr>
            <w:tcW w:w="1178" w:type="dxa"/>
            <w:tcBorders>
              <w:top w:val="single" w:sz="4" w:space="0" w:color="auto"/>
              <w:left w:val="nil"/>
              <w:bottom w:val="nil"/>
              <w:right w:val="nil"/>
            </w:tcBorders>
          </w:tcPr>
          <w:p w14:paraId="6D5CFAF9" w14:textId="77777777" w:rsidR="008A3D47" w:rsidRPr="009201E7" w:rsidRDefault="008A3D47" w:rsidP="008A3D47">
            <w:pPr>
              <w:widowControl w:val="0"/>
              <w:autoSpaceDE w:val="0"/>
              <w:autoSpaceDN w:val="0"/>
              <w:adjustRightInd w:val="0"/>
              <w:jc w:val="center"/>
            </w:pPr>
          </w:p>
        </w:tc>
        <w:tc>
          <w:tcPr>
            <w:tcW w:w="1178" w:type="dxa"/>
            <w:tcBorders>
              <w:top w:val="single" w:sz="4" w:space="0" w:color="auto"/>
              <w:left w:val="nil"/>
              <w:bottom w:val="nil"/>
              <w:right w:val="nil"/>
            </w:tcBorders>
          </w:tcPr>
          <w:p w14:paraId="2315243C" w14:textId="77777777" w:rsidR="008A3D47" w:rsidRPr="009201E7" w:rsidRDefault="008A3D47" w:rsidP="008A3D47">
            <w:pPr>
              <w:widowControl w:val="0"/>
              <w:autoSpaceDE w:val="0"/>
              <w:autoSpaceDN w:val="0"/>
              <w:adjustRightInd w:val="0"/>
              <w:jc w:val="center"/>
            </w:pPr>
          </w:p>
        </w:tc>
        <w:tc>
          <w:tcPr>
            <w:tcW w:w="1178" w:type="dxa"/>
            <w:tcBorders>
              <w:top w:val="single" w:sz="4" w:space="0" w:color="auto"/>
              <w:left w:val="nil"/>
              <w:bottom w:val="nil"/>
              <w:right w:val="nil"/>
            </w:tcBorders>
          </w:tcPr>
          <w:p w14:paraId="7D1BDC59" w14:textId="77777777" w:rsidR="008A3D47" w:rsidRPr="009201E7" w:rsidRDefault="008A3D47" w:rsidP="008A3D47">
            <w:pPr>
              <w:widowControl w:val="0"/>
              <w:autoSpaceDE w:val="0"/>
              <w:autoSpaceDN w:val="0"/>
              <w:adjustRightInd w:val="0"/>
              <w:jc w:val="center"/>
            </w:pPr>
          </w:p>
        </w:tc>
        <w:tc>
          <w:tcPr>
            <w:tcW w:w="1178" w:type="dxa"/>
            <w:tcBorders>
              <w:top w:val="single" w:sz="4" w:space="0" w:color="auto"/>
              <w:left w:val="nil"/>
              <w:bottom w:val="nil"/>
              <w:right w:val="nil"/>
            </w:tcBorders>
          </w:tcPr>
          <w:p w14:paraId="30E13845" w14:textId="77777777" w:rsidR="008A3D47" w:rsidRPr="009201E7" w:rsidRDefault="008A3D47" w:rsidP="008A3D47">
            <w:pPr>
              <w:widowControl w:val="0"/>
              <w:autoSpaceDE w:val="0"/>
              <w:autoSpaceDN w:val="0"/>
              <w:adjustRightInd w:val="0"/>
              <w:jc w:val="center"/>
            </w:pPr>
          </w:p>
        </w:tc>
        <w:tc>
          <w:tcPr>
            <w:tcW w:w="1178" w:type="dxa"/>
            <w:tcBorders>
              <w:top w:val="single" w:sz="4" w:space="0" w:color="auto"/>
              <w:left w:val="nil"/>
              <w:bottom w:val="nil"/>
              <w:right w:val="nil"/>
            </w:tcBorders>
          </w:tcPr>
          <w:p w14:paraId="4B38854F" w14:textId="77777777" w:rsidR="008A3D47" w:rsidRPr="009201E7" w:rsidRDefault="008A3D47" w:rsidP="008A3D47">
            <w:pPr>
              <w:widowControl w:val="0"/>
              <w:autoSpaceDE w:val="0"/>
              <w:autoSpaceDN w:val="0"/>
              <w:adjustRightInd w:val="0"/>
              <w:jc w:val="center"/>
            </w:pPr>
          </w:p>
        </w:tc>
        <w:tc>
          <w:tcPr>
            <w:tcW w:w="1178" w:type="dxa"/>
            <w:tcBorders>
              <w:top w:val="single" w:sz="4" w:space="0" w:color="auto"/>
              <w:left w:val="nil"/>
              <w:bottom w:val="nil"/>
              <w:right w:val="nil"/>
            </w:tcBorders>
          </w:tcPr>
          <w:p w14:paraId="525F0429" w14:textId="77777777" w:rsidR="008A3D47" w:rsidRPr="009201E7" w:rsidRDefault="008A3D47" w:rsidP="008A3D47">
            <w:pPr>
              <w:widowControl w:val="0"/>
              <w:autoSpaceDE w:val="0"/>
              <w:autoSpaceDN w:val="0"/>
              <w:adjustRightInd w:val="0"/>
              <w:jc w:val="center"/>
            </w:pPr>
          </w:p>
        </w:tc>
      </w:tr>
      <w:tr w:rsidR="008A3D47" w:rsidRPr="009201E7" w14:paraId="28E70534" w14:textId="77777777" w:rsidTr="008A3D47">
        <w:trPr>
          <w:trHeight w:hRule="exact" w:val="340"/>
          <w:jc w:val="center"/>
        </w:trPr>
        <w:tc>
          <w:tcPr>
            <w:tcW w:w="1873" w:type="dxa"/>
            <w:tcBorders>
              <w:top w:val="nil"/>
              <w:left w:val="nil"/>
              <w:bottom w:val="nil"/>
              <w:right w:val="nil"/>
            </w:tcBorders>
          </w:tcPr>
          <w:p w14:paraId="12261E67" w14:textId="77777777" w:rsidR="008A3D47" w:rsidRPr="009201E7" w:rsidRDefault="008A3D47" w:rsidP="008A3D47">
            <w:pPr>
              <w:widowControl w:val="0"/>
              <w:autoSpaceDE w:val="0"/>
              <w:autoSpaceDN w:val="0"/>
              <w:adjustRightInd w:val="0"/>
            </w:pPr>
          </w:p>
        </w:tc>
        <w:tc>
          <w:tcPr>
            <w:tcW w:w="1178" w:type="dxa"/>
            <w:tcBorders>
              <w:top w:val="nil"/>
              <w:left w:val="nil"/>
              <w:bottom w:val="nil"/>
              <w:right w:val="nil"/>
            </w:tcBorders>
          </w:tcPr>
          <w:p w14:paraId="5B690A64" w14:textId="77777777" w:rsidR="008A3D47" w:rsidRPr="009201E7" w:rsidRDefault="008A3D47" w:rsidP="008A3D47">
            <w:pPr>
              <w:widowControl w:val="0"/>
              <w:autoSpaceDE w:val="0"/>
              <w:autoSpaceDN w:val="0"/>
              <w:adjustRightInd w:val="0"/>
              <w:jc w:val="center"/>
            </w:pPr>
            <w:r w:rsidRPr="009201E7">
              <w:t>Count</w:t>
            </w:r>
          </w:p>
        </w:tc>
        <w:tc>
          <w:tcPr>
            <w:tcW w:w="1178" w:type="dxa"/>
            <w:tcBorders>
              <w:top w:val="nil"/>
              <w:left w:val="nil"/>
              <w:bottom w:val="nil"/>
              <w:right w:val="nil"/>
            </w:tcBorders>
          </w:tcPr>
          <w:p w14:paraId="67C08846" w14:textId="77777777" w:rsidR="008A3D47" w:rsidRPr="009201E7" w:rsidRDefault="008A3D47" w:rsidP="008A3D47">
            <w:pPr>
              <w:widowControl w:val="0"/>
              <w:autoSpaceDE w:val="0"/>
              <w:autoSpaceDN w:val="0"/>
              <w:adjustRightInd w:val="0"/>
              <w:jc w:val="center"/>
            </w:pPr>
            <w:r w:rsidRPr="009201E7">
              <w:t>Mean</w:t>
            </w:r>
          </w:p>
        </w:tc>
        <w:tc>
          <w:tcPr>
            <w:tcW w:w="1178" w:type="dxa"/>
            <w:tcBorders>
              <w:top w:val="nil"/>
              <w:left w:val="nil"/>
              <w:bottom w:val="nil"/>
              <w:right w:val="nil"/>
            </w:tcBorders>
          </w:tcPr>
          <w:p w14:paraId="6038DF7C" w14:textId="77777777" w:rsidR="008A3D47" w:rsidRPr="009201E7" w:rsidRDefault="008A3D47" w:rsidP="008A3D47">
            <w:pPr>
              <w:widowControl w:val="0"/>
              <w:autoSpaceDE w:val="0"/>
              <w:autoSpaceDN w:val="0"/>
              <w:adjustRightInd w:val="0"/>
              <w:jc w:val="center"/>
            </w:pPr>
            <w:r w:rsidRPr="009201E7">
              <w:t>Median</w:t>
            </w:r>
          </w:p>
        </w:tc>
        <w:tc>
          <w:tcPr>
            <w:tcW w:w="1178" w:type="dxa"/>
            <w:tcBorders>
              <w:top w:val="nil"/>
              <w:left w:val="nil"/>
              <w:bottom w:val="nil"/>
              <w:right w:val="nil"/>
            </w:tcBorders>
          </w:tcPr>
          <w:p w14:paraId="00E29422" w14:textId="77777777" w:rsidR="008A3D47" w:rsidRPr="009201E7" w:rsidRDefault="008A3D47" w:rsidP="008A3D47">
            <w:pPr>
              <w:widowControl w:val="0"/>
              <w:autoSpaceDE w:val="0"/>
              <w:autoSpaceDN w:val="0"/>
              <w:adjustRightInd w:val="0"/>
              <w:jc w:val="center"/>
            </w:pPr>
            <w:r w:rsidRPr="009201E7">
              <w:t>SD</w:t>
            </w:r>
          </w:p>
        </w:tc>
        <w:tc>
          <w:tcPr>
            <w:tcW w:w="1178" w:type="dxa"/>
            <w:tcBorders>
              <w:top w:val="nil"/>
              <w:left w:val="nil"/>
              <w:bottom w:val="nil"/>
              <w:right w:val="nil"/>
            </w:tcBorders>
          </w:tcPr>
          <w:p w14:paraId="0F59880A" w14:textId="77777777" w:rsidR="008A3D47" w:rsidRPr="009201E7" w:rsidRDefault="008A3D47" w:rsidP="008A3D47">
            <w:pPr>
              <w:widowControl w:val="0"/>
              <w:autoSpaceDE w:val="0"/>
              <w:autoSpaceDN w:val="0"/>
              <w:adjustRightInd w:val="0"/>
              <w:jc w:val="center"/>
            </w:pPr>
            <w:r w:rsidRPr="009201E7">
              <w:t>Min</w:t>
            </w:r>
          </w:p>
        </w:tc>
        <w:tc>
          <w:tcPr>
            <w:tcW w:w="1178" w:type="dxa"/>
            <w:tcBorders>
              <w:top w:val="nil"/>
              <w:left w:val="nil"/>
              <w:bottom w:val="nil"/>
              <w:right w:val="nil"/>
            </w:tcBorders>
          </w:tcPr>
          <w:p w14:paraId="78C49723" w14:textId="77777777" w:rsidR="008A3D47" w:rsidRPr="009201E7" w:rsidRDefault="008A3D47" w:rsidP="008A3D47">
            <w:pPr>
              <w:widowControl w:val="0"/>
              <w:autoSpaceDE w:val="0"/>
              <w:autoSpaceDN w:val="0"/>
              <w:adjustRightInd w:val="0"/>
              <w:jc w:val="center"/>
            </w:pPr>
            <w:r w:rsidRPr="009201E7">
              <w:t>Max</w:t>
            </w:r>
          </w:p>
        </w:tc>
      </w:tr>
      <w:tr w:rsidR="008A3D47" w:rsidRPr="009201E7" w14:paraId="7D34A980" w14:textId="77777777" w:rsidTr="008A3D47">
        <w:trPr>
          <w:trHeight w:hRule="exact" w:val="340"/>
          <w:jc w:val="center"/>
        </w:trPr>
        <w:tc>
          <w:tcPr>
            <w:tcW w:w="1873" w:type="dxa"/>
            <w:tcBorders>
              <w:top w:val="single" w:sz="4" w:space="0" w:color="auto"/>
              <w:left w:val="nil"/>
              <w:bottom w:val="nil"/>
              <w:right w:val="nil"/>
            </w:tcBorders>
          </w:tcPr>
          <w:p w14:paraId="41BF51EA" w14:textId="77777777" w:rsidR="008A3D47" w:rsidRPr="009201E7" w:rsidRDefault="008A3D47" w:rsidP="008A3D47">
            <w:pPr>
              <w:widowControl w:val="0"/>
              <w:autoSpaceDE w:val="0"/>
              <w:autoSpaceDN w:val="0"/>
              <w:adjustRightInd w:val="0"/>
              <w:spacing w:line="360" w:lineRule="auto"/>
            </w:pPr>
            <w:r w:rsidRPr="009201E7">
              <w:t>Tobin’s Q</w:t>
            </w:r>
          </w:p>
        </w:tc>
        <w:tc>
          <w:tcPr>
            <w:tcW w:w="1178" w:type="dxa"/>
            <w:tcBorders>
              <w:top w:val="single" w:sz="4" w:space="0" w:color="auto"/>
              <w:left w:val="nil"/>
              <w:bottom w:val="nil"/>
              <w:right w:val="nil"/>
            </w:tcBorders>
          </w:tcPr>
          <w:p w14:paraId="63B6566C" w14:textId="77777777" w:rsidR="008A3D47" w:rsidRPr="009201E7" w:rsidRDefault="008A3D47" w:rsidP="008A3D47">
            <w:pPr>
              <w:widowControl w:val="0"/>
              <w:autoSpaceDE w:val="0"/>
              <w:autoSpaceDN w:val="0"/>
              <w:adjustRightInd w:val="0"/>
              <w:spacing w:line="360" w:lineRule="auto"/>
              <w:jc w:val="center"/>
            </w:pPr>
            <w:r w:rsidRPr="009201E7">
              <w:t>756</w:t>
            </w:r>
          </w:p>
        </w:tc>
        <w:tc>
          <w:tcPr>
            <w:tcW w:w="1178" w:type="dxa"/>
            <w:tcBorders>
              <w:top w:val="single" w:sz="4" w:space="0" w:color="auto"/>
              <w:left w:val="nil"/>
              <w:bottom w:val="nil"/>
              <w:right w:val="nil"/>
            </w:tcBorders>
          </w:tcPr>
          <w:p w14:paraId="651E53F6" w14:textId="77777777" w:rsidR="008A3D47" w:rsidRPr="009201E7" w:rsidRDefault="008A3D47" w:rsidP="008A3D47">
            <w:pPr>
              <w:widowControl w:val="0"/>
              <w:autoSpaceDE w:val="0"/>
              <w:autoSpaceDN w:val="0"/>
              <w:adjustRightInd w:val="0"/>
              <w:spacing w:line="360" w:lineRule="auto"/>
              <w:jc w:val="center"/>
            </w:pPr>
            <w:r w:rsidRPr="009201E7">
              <w:t>10.461</w:t>
            </w:r>
          </w:p>
        </w:tc>
        <w:tc>
          <w:tcPr>
            <w:tcW w:w="1178" w:type="dxa"/>
            <w:tcBorders>
              <w:top w:val="single" w:sz="4" w:space="0" w:color="auto"/>
              <w:left w:val="nil"/>
              <w:bottom w:val="nil"/>
              <w:right w:val="nil"/>
            </w:tcBorders>
          </w:tcPr>
          <w:p w14:paraId="5787DF54" w14:textId="77777777" w:rsidR="008A3D47" w:rsidRPr="009201E7" w:rsidRDefault="008A3D47" w:rsidP="008A3D47">
            <w:pPr>
              <w:widowControl w:val="0"/>
              <w:autoSpaceDE w:val="0"/>
              <w:autoSpaceDN w:val="0"/>
              <w:adjustRightInd w:val="0"/>
              <w:spacing w:line="360" w:lineRule="auto"/>
              <w:jc w:val="center"/>
            </w:pPr>
            <w:r w:rsidRPr="009201E7">
              <w:t>5.881</w:t>
            </w:r>
          </w:p>
        </w:tc>
        <w:tc>
          <w:tcPr>
            <w:tcW w:w="1178" w:type="dxa"/>
            <w:tcBorders>
              <w:top w:val="single" w:sz="4" w:space="0" w:color="auto"/>
              <w:left w:val="nil"/>
              <w:bottom w:val="nil"/>
              <w:right w:val="nil"/>
            </w:tcBorders>
          </w:tcPr>
          <w:p w14:paraId="128F86FD" w14:textId="77777777" w:rsidR="008A3D47" w:rsidRPr="009201E7" w:rsidRDefault="008A3D47" w:rsidP="008A3D47">
            <w:pPr>
              <w:widowControl w:val="0"/>
              <w:autoSpaceDE w:val="0"/>
              <w:autoSpaceDN w:val="0"/>
              <w:adjustRightInd w:val="0"/>
              <w:spacing w:line="360" w:lineRule="auto"/>
              <w:jc w:val="center"/>
            </w:pPr>
            <w:r w:rsidRPr="009201E7">
              <w:t>13.066</w:t>
            </w:r>
          </w:p>
        </w:tc>
        <w:tc>
          <w:tcPr>
            <w:tcW w:w="1178" w:type="dxa"/>
            <w:tcBorders>
              <w:top w:val="single" w:sz="4" w:space="0" w:color="auto"/>
              <w:left w:val="nil"/>
              <w:bottom w:val="nil"/>
              <w:right w:val="nil"/>
            </w:tcBorders>
          </w:tcPr>
          <w:p w14:paraId="273A59D9" w14:textId="77777777" w:rsidR="008A3D47" w:rsidRPr="009201E7" w:rsidRDefault="008A3D47" w:rsidP="008A3D47">
            <w:pPr>
              <w:widowControl w:val="0"/>
              <w:autoSpaceDE w:val="0"/>
              <w:autoSpaceDN w:val="0"/>
              <w:adjustRightInd w:val="0"/>
              <w:spacing w:line="360" w:lineRule="auto"/>
              <w:jc w:val="center"/>
            </w:pPr>
            <w:r>
              <w:t>0</w:t>
            </w:r>
          </w:p>
        </w:tc>
        <w:tc>
          <w:tcPr>
            <w:tcW w:w="1178" w:type="dxa"/>
            <w:tcBorders>
              <w:top w:val="single" w:sz="4" w:space="0" w:color="auto"/>
              <w:left w:val="nil"/>
              <w:bottom w:val="nil"/>
              <w:right w:val="nil"/>
            </w:tcBorders>
          </w:tcPr>
          <w:p w14:paraId="0495ADAE" w14:textId="77777777" w:rsidR="008A3D47" w:rsidRPr="009201E7" w:rsidRDefault="008A3D47" w:rsidP="008A3D47">
            <w:pPr>
              <w:widowControl w:val="0"/>
              <w:autoSpaceDE w:val="0"/>
              <w:autoSpaceDN w:val="0"/>
              <w:adjustRightInd w:val="0"/>
              <w:spacing w:line="360" w:lineRule="auto"/>
              <w:jc w:val="center"/>
            </w:pPr>
            <w:r w:rsidRPr="009201E7">
              <w:t>72.712</w:t>
            </w:r>
          </w:p>
        </w:tc>
      </w:tr>
      <w:tr w:rsidR="008A3D47" w:rsidRPr="009201E7" w14:paraId="563680EA" w14:textId="77777777" w:rsidTr="008A3D47">
        <w:trPr>
          <w:trHeight w:hRule="exact" w:val="414"/>
          <w:jc w:val="center"/>
        </w:trPr>
        <w:tc>
          <w:tcPr>
            <w:tcW w:w="1873" w:type="dxa"/>
            <w:tcBorders>
              <w:top w:val="nil"/>
              <w:left w:val="nil"/>
              <w:bottom w:val="nil"/>
              <w:right w:val="nil"/>
            </w:tcBorders>
          </w:tcPr>
          <w:p w14:paraId="685783AA" w14:textId="77777777" w:rsidR="008A3D47" w:rsidRPr="009201E7" w:rsidRDefault="008A3D47" w:rsidP="008A3D47">
            <w:pPr>
              <w:widowControl w:val="0"/>
              <w:autoSpaceDE w:val="0"/>
              <w:autoSpaceDN w:val="0"/>
              <w:adjustRightInd w:val="0"/>
              <w:spacing w:line="360" w:lineRule="auto"/>
            </w:pPr>
            <w:r>
              <w:t>AC</w:t>
            </w:r>
          </w:p>
        </w:tc>
        <w:tc>
          <w:tcPr>
            <w:tcW w:w="1178" w:type="dxa"/>
            <w:tcBorders>
              <w:top w:val="nil"/>
              <w:left w:val="nil"/>
              <w:bottom w:val="nil"/>
              <w:right w:val="nil"/>
            </w:tcBorders>
          </w:tcPr>
          <w:p w14:paraId="00630DD1" w14:textId="77777777" w:rsidR="008A3D47" w:rsidRPr="009201E7" w:rsidRDefault="008A3D47" w:rsidP="008A3D47">
            <w:pPr>
              <w:widowControl w:val="0"/>
              <w:autoSpaceDE w:val="0"/>
              <w:autoSpaceDN w:val="0"/>
              <w:adjustRightInd w:val="0"/>
              <w:spacing w:line="360" w:lineRule="auto"/>
              <w:jc w:val="center"/>
            </w:pPr>
            <w:r w:rsidRPr="009201E7">
              <w:t>756</w:t>
            </w:r>
          </w:p>
        </w:tc>
        <w:tc>
          <w:tcPr>
            <w:tcW w:w="1178" w:type="dxa"/>
            <w:tcBorders>
              <w:top w:val="nil"/>
              <w:left w:val="nil"/>
              <w:bottom w:val="nil"/>
              <w:right w:val="nil"/>
            </w:tcBorders>
          </w:tcPr>
          <w:p w14:paraId="7315C478" w14:textId="77777777" w:rsidR="008A3D47" w:rsidRPr="009201E7" w:rsidRDefault="008A3D47" w:rsidP="008A3D47">
            <w:pPr>
              <w:widowControl w:val="0"/>
              <w:autoSpaceDE w:val="0"/>
              <w:autoSpaceDN w:val="0"/>
              <w:adjustRightInd w:val="0"/>
              <w:spacing w:line="360" w:lineRule="auto"/>
              <w:jc w:val="center"/>
            </w:pPr>
          </w:p>
        </w:tc>
        <w:tc>
          <w:tcPr>
            <w:tcW w:w="1178" w:type="dxa"/>
            <w:tcBorders>
              <w:top w:val="nil"/>
              <w:left w:val="nil"/>
              <w:bottom w:val="nil"/>
              <w:right w:val="nil"/>
            </w:tcBorders>
          </w:tcPr>
          <w:p w14:paraId="251F1C9E" w14:textId="77777777" w:rsidR="008A3D47" w:rsidRPr="009201E7" w:rsidRDefault="008A3D47" w:rsidP="008A3D47">
            <w:pPr>
              <w:widowControl w:val="0"/>
              <w:autoSpaceDE w:val="0"/>
              <w:autoSpaceDN w:val="0"/>
              <w:adjustRightInd w:val="0"/>
              <w:spacing w:line="360" w:lineRule="auto"/>
              <w:jc w:val="center"/>
            </w:pPr>
          </w:p>
        </w:tc>
        <w:tc>
          <w:tcPr>
            <w:tcW w:w="1178" w:type="dxa"/>
            <w:tcBorders>
              <w:top w:val="nil"/>
              <w:left w:val="nil"/>
              <w:bottom w:val="nil"/>
              <w:right w:val="nil"/>
            </w:tcBorders>
          </w:tcPr>
          <w:p w14:paraId="3599A65A" w14:textId="77777777" w:rsidR="008A3D47" w:rsidRPr="009201E7" w:rsidRDefault="008A3D47" w:rsidP="008A3D47">
            <w:pPr>
              <w:widowControl w:val="0"/>
              <w:autoSpaceDE w:val="0"/>
              <w:autoSpaceDN w:val="0"/>
              <w:adjustRightInd w:val="0"/>
              <w:spacing w:line="360" w:lineRule="auto"/>
              <w:jc w:val="center"/>
            </w:pPr>
          </w:p>
        </w:tc>
        <w:tc>
          <w:tcPr>
            <w:tcW w:w="1178" w:type="dxa"/>
            <w:tcBorders>
              <w:top w:val="nil"/>
              <w:left w:val="nil"/>
              <w:bottom w:val="nil"/>
              <w:right w:val="nil"/>
            </w:tcBorders>
          </w:tcPr>
          <w:p w14:paraId="628F9313" w14:textId="77777777" w:rsidR="008A3D47" w:rsidRPr="009201E7" w:rsidRDefault="008A3D47" w:rsidP="008A3D47">
            <w:pPr>
              <w:widowControl w:val="0"/>
              <w:autoSpaceDE w:val="0"/>
              <w:autoSpaceDN w:val="0"/>
              <w:adjustRightInd w:val="0"/>
              <w:spacing w:line="360" w:lineRule="auto"/>
              <w:jc w:val="center"/>
            </w:pPr>
            <w:r w:rsidRPr="009201E7">
              <w:t>0</w:t>
            </w:r>
          </w:p>
        </w:tc>
        <w:tc>
          <w:tcPr>
            <w:tcW w:w="1178" w:type="dxa"/>
            <w:tcBorders>
              <w:top w:val="nil"/>
              <w:left w:val="nil"/>
              <w:bottom w:val="nil"/>
              <w:right w:val="nil"/>
            </w:tcBorders>
          </w:tcPr>
          <w:p w14:paraId="390A2B93" w14:textId="77777777" w:rsidR="008A3D47" w:rsidRPr="009201E7" w:rsidRDefault="008A3D47" w:rsidP="008A3D47">
            <w:pPr>
              <w:widowControl w:val="0"/>
              <w:autoSpaceDE w:val="0"/>
              <w:autoSpaceDN w:val="0"/>
              <w:adjustRightInd w:val="0"/>
              <w:spacing w:line="360" w:lineRule="auto"/>
              <w:jc w:val="center"/>
            </w:pPr>
            <w:r w:rsidRPr="009201E7">
              <w:t>1</w:t>
            </w:r>
          </w:p>
        </w:tc>
      </w:tr>
      <w:tr w:rsidR="008A3D47" w:rsidRPr="009201E7" w14:paraId="40C22DF7" w14:textId="77777777" w:rsidTr="008A3D47">
        <w:trPr>
          <w:trHeight w:hRule="exact" w:val="340"/>
          <w:jc w:val="center"/>
        </w:trPr>
        <w:tc>
          <w:tcPr>
            <w:tcW w:w="1873" w:type="dxa"/>
            <w:tcBorders>
              <w:top w:val="nil"/>
              <w:left w:val="nil"/>
              <w:bottom w:val="nil"/>
              <w:right w:val="nil"/>
            </w:tcBorders>
          </w:tcPr>
          <w:p w14:paraId="03FC7B09" w14:textId="77777777" w:rsidR="008A3D47" w:rsidRPr="009201E7" w:rsidRDefault="008A3D47" w:rsidP="008A3D47">
            <w:pPr>
              <w:widowControl w:val="0"/>
              <w:autoSpaceDE w:val="0"/>
              <w:autoSpaceDN w:val="0"/>
              <w:adjustRightInd w:val="0"/>
              <w:spacing w:line="360" w:lineRule="auto"/>
              <w:rPr>
                <w:b/>
                <w:i/>
              </w:rPr>
            </w:pPr>
            <w:r w:rsidRPr="009201E7">
              <w:rPr>
                <w:b/>
                <w:i/>
              </w:rPr>
              <w:t>Control Variables</w:t>
            </w:r>
          </w:p>
          <w:p w14:paraId="0808BC93" w14:textId="77777777" w:rsidR="008A3D47" w:rsidRPr="009201E7" w:rsidRDefault="008A3D47" w:rsidP="008A3D47">
            <w:pPr>
              <w:widowControl w:val="0"/>
              <w:autoSpaceDE w:val="0"/>
              <w:autoSpaceDN w:val="0"/>
              <w:adjustRightInd w:val="0"/>
              <w:spacing w:line="360" w:lineRule="auto"/>
            </w:pPr>
            <w:r w:rsidRPr="009201E7">
              <w:t>GROWTH</w:t>
            </w:r>
          </w:p>
        </w:tc>
        <w:tc>
          <w:tcPr>
            <w:tcW w:w="1178" w:type="dxa"/>
            <w:tcBorders>
              <w:top w:val="nil"/>
              <w:left w:val="nil"/>
              <w:bottom w:val="nil"/>
              <w:right w:val="nil"/>
            </w:tcBorders>
          </w:tcPr>
          <w:p w14:paraId="5236FEA3" w14:textId="77777777" w:rsidR="008A3D47" w:rsidRPr="009201E7" w:rsidRDefault="008A3D47" w:rsidP="008A3D47">
            <w:pPr>
              <w:widowControl w:val="0"/>
              <w:autoSpaceDE w:val="0"/>
              <w:autoSpaceDN w:val="0"/>
              <w:adjustRightInd w:val="0"/>
              <w:spacing w:line="360" w:lineRule="auto"/>
              <w:jc w:val="center"/>
            </w:pPr>
          </w:p>
          <w:p w14:paraId="22D385A3" w14:textId="77777777" w:rsidR="008A3D47" w:rsidRPr="009201E7" w:rsidRDefault="008A3D47" w:rsidP="008A3D47">
            <w:pPr>
              <w:widowControl w:val="0"/>
              <w:autoSpaceDE w:val="0"/>
              <w:autoSpaceDN w:val="0"/>
              <w:adjustRightInd w:val="0"/>
              <w:spacing w:line="360" w:lineRule="auto"/>
              <w:jc w:val="center"/>
            </w:pPr>
            <w:r w:rsidRPr="009201E7">
              <w:t>756</w:t>
            </w:r>
          </w:p>
        </w:tc>
        <w:tc>
          <w:tcPr>
            <w:tcW w:w="1178" w:type="dxa"/>
            <w:tcBorders>
              <w:top w:val="nil"/>
              <w:left w:val="nil"/>
              <w:bottom w:val="nil"/>
              <w:right w:val="nil"/>
            </w:tcBorders>
          </w:tcPr>
          <w:p w14:paraId="27BA9090" w14:textId="77777777" w:rsidR="008A3D47" w:rsidRPr="009201E7" w:rsidRDefault="008A3D47" w:rsidP="008A3D47">
            <w:pPr>
              <w:widowControl w:val="0"/>
              <w:autoSpaceDE w:val="0"/>
              <w:autoSpaceDN w:val="0"/>
              <w:adjustRightInd w:val="0"/>
              <w:spacing w:line="360" w:lineRule="auto"/>
              <w:jc w:val="center"/>
            </w:pPr>
          </w:p>
          <w:p w14:paraId="3B48AFB1" w14:textId="77777777" w:rsidR="008A3D47" w:rsidRPr="009201E7" w:rsidRDefault="008A3D47" w:rsidP="008A3D47">
            <w:pPr>
              <w:widowControl w:val="0"/>
              <w:autoSpaceDE w:val="0"/>
              <w:autoSpaceDN w:val="0"/>
              <w:adjustRightInd w:val="0"/>
              <w:spacing w:line="360" w:lineRule="auto"/>
              <w:jc w:val="center"/>
            </w:pPr>
            <w:r w:rsidRPr="009201E7">
              <w:t>0.239</w:t>
            </w:r>
          </w:p>
        </w:tc>
        <w:tc>
          <w:tcPr>
            <w:tcW w:w="1178" w:type="dxa"/>
            <w:tcBorders>
              <w:top w:val="nil"/>
              <w:left w:val="nil"/>
              <w:bottom w:val="nil"/>
              <w:right w:val="nil"/>
            </w:tcBorders>
          </w:tcPr>
          <w:p w14:paraId="6E88E8CC" w14:textId="77777777" w:rsidR="008A3D47" w:rsidRPr="009201E7" w:rsidRDefault="008A3D47" w:rsidP="008A3D47">
            <w:pPr>
              <w:widowControl w:val="0"/>
              <w:autoSpaceDE w:val="0"/>
              <w:autoSpaceDN w:val="0"/>
              <w:adjustRightInd w:val="0"/>
              <w:spacing w:line="360" w:lineRule="auto"/>
              <w:jc w:val="center"/>
            </w:pPr>
          </w:p>
          <w:p w14:paraId="1557CF9A" w14:textId="77777777" w:rsidR="008A3D47" w:rsidRPr="009201E7" w:rsidRDefault="008A3D47" w:rsidP="008A3D47">
            <w:pPr>
              <w:widowControl w:val="0"/>
              <w:autoSpaceDE w:val="0"/>
              <w:autoSpaceDN w:val="0"/>
              <w:adjustRightInd w:val="0"/>
              <w:spacing w:line="360" w:lineRule="auto"/>
              <w:jc w:val="center"/>
            </w:pPr>
            <w:r w:rsidRPr="009201E7">
              <w:t>0.116</w:t>
            </w:r>
          </w:p>
        </w:tc>
        <w:tc>
          <w:tcPr>
            <w:tcW w:w="1178" w:type="dxa"/>
            <w:tcBorders>
              <w:top w:val="nil"/>
              <w:left w:val="nil"/>
              <w:bottom w:val="nil"/>
              <w:right w:val="nil"/>
            </w:tcBorders>
          </w:tcPr>
          <w:p w14:paraId="64C3F33A" w14:textId="77777777" w:rsidR="008A3D47" w:rsidRPr="009201E7" w:rsidRDefault="008A3D47" w:rsidP="008A3D47">
            <w:pPr>
              <w:widowControl w:val="0"/>
              <w:autoSpaceDE w:val="0"/>
              <w:autoSpaceDN w:val="0"/>
              <w:adjustRightInd w:val="0"/>
              <w:spacing w:line="360" w:lineRule="auto"/>
              <w:jc w:val="center"/>
            </w:pPr>
          </w:p>
          <w:p w14:paraId="4C56DF52" w14:textId="77777777" w:rsidR="008A3D47" w:rsidRPr="009201E7" w:rsidRDefault="008A3D47" w:rsidP="008A3D47">
            <w:pPr>
              <w:widowControl w:val="0"/>
              <w:autoSpaceDE w:val="0"/>
              <w:autoSpaceDN w:val="0"/>
              <w:adjustRightInd w:val="0"/>
              <w:spacing w:line="360" w:lineRule="auto"/>
              <w:jc w:val="center"/>
            </w:pPr>
            <w:r w:rsidRPr="009201E7">
              <w:t>0.457</w:t>
            </w:r>
          </w:p>
        </w:tc>
        <w:tc>
          <w:tcPr>
            <w:tcW w:w="1178" w:type="dxa"/>
            <w:tcBorders>
              <w:top w:val="nil"/>
              <w:left w:val="nil"/>
              <w:bottom w:val="nil"/>
              <w:right w:val="nil"/>
            </w:tcBorders>
          </w:tcPr>
          <w:p w14:paraId="3BC2322B" w14:textId="77777777" w:rsidR="008A3D47" w:rsidRPr="009201E7" w:rsidRDefault="008A3D47" w:rsidP="008A3D47">
            <w:pPr>
              <w:widowControl w:val="0"/>
              <w:autoSpaceDE w:val="0"/>
              <w:autoSpaceDN w:val="0"/>
              <w:adjustRightInd w:val="0"/>
              <w:spacing w:line="360" w:lineRule="auto"/>
              <w:jc w:val="center"/>
            </w:pPr>
          </w:p>
          <w:p w14:paraId="240B6C3F" w14:textId="77777777" w:rsidR="008A3D47" w:rsidRPr="009201E7" w:rsidRDefault="008A3D47" w:rsidP="008A3D47">
            <w:pPr>
              <w:widowControl w:val="0"/>
              <w:autoSpaceDE w:val="0"/>
              <w:autoSpaceDN w:val="0"/>
              <w:adjustRightInd w:val="0"/>
              <w:spacing w:line="360" w:lineRule="auto"/>
              <w:jc w:val="center"/>
            </w:pPr>
            <w:r w:rsidRPr="009201E7">
              <w:t>0.000</w:t>
            </w:r>
          </w:p>
        </w:tc>
        <w:tc>
          <w:tcPr>
            <w:tcW w:w="1178" w:type="dxa"/>
            <w:tcBorders>
              <w:top w:val="nil"/>
              <w:left w:val="nil"/>
              <w:bottom w:val="nil"/>
              <w:right w:val="nil"/>
            </w:tcBorders>
          </w:tcPr>
          <w:p w14:paraId="65447172" w14:textId="77777777" w:rsidR="008A3D47" w:rsidRPr="009201E7" w:rsidRDefault="008A3D47" w:rsidP="008A3D47">
            <w:pPr>
              <w:widowControl w:val="0"/>
              <w:autoSpaceDE w:val="0"/>
              <w:autoSpaceDN w:val="0"/>
              <w:adjustRightInd w:val="0"/>
              <w:spacing w:line="360" w:lineRule="auto"/>
              <w:jc w:val="center"/>
            </w:pPr>
          </w:p>
          <w:p w14:paraId="0DC103F9" w14:textId="77777777" w:rsidR="008A3D47" w:rsidRPr="009201E7" w:rsidRDefault="008A3D47" w:rsidP="008A3D47">
            <w:pPr>
              <w:widowControl w:val="0"/>
              <w:autoSpaceDE w:val="0"/>
              <w:autoSpaceDN w:val="0"/>
              <w:adjustRightInd w:val="0"/>
              <w:spacing w:line="360" w:lineRule="auto"/>
              <w:jc w:val="center"/>
            </w:pPr>
            <w:r w:rsidRPr="009201E7">
              <w:t>6.190</w:t>
            </w:r>
          </w:p>
        </w:tc>
      </w:tr>
      <w:tr w:rsidR="008A3D47" w:rsidRPr="009201E7" w14:paraId="381940B2" w14:textId="77777777" w:rsidTr="008A3D47">
        <w:trPr>
          <w:trHeight w:hRule="exact" w:val="340"/>
          <w:jc w:val="center"/>
        </w:trPr>
        <w:tc>
          <w:tcPr>
            <w:tcW w:w="1873" w:type="dxa"/>
            <w:tcBorders>
              <w:top w:val="nil"/>
              <w:left w:val="nil"/>
              <w:bottom w:val="nil"/>
              <w:right w:val="nil"/>
            </w:tcBorders>
          </w:tcPr>
          <w:p w14:paraId="746A33A5" w14:textId="77777777" w:rsidR="008A3D47" w:rsidRPr="009201E7" w:rsidRDefault="008A3D47" w:rsidP="008A3D47">
            <w:pPr>
              <w:widowControl w:val="0"/>
              <w:autoSpaceDE w:val="0"/>
              <w:autoSpaceDN w:val="0"/>
              <w:adjustRightInd w:val="0"/>
              <w:spacing w:line="360" w:lineRule="auto"/>
            </w:pPr>
            <w:r>
              <w:t>Growth</w:t>
            </w:r>
          </w:p>
        </w:tc>
        <w:tc>
          <w:tcPr>
            <w:tcW w:w="1178" w:type="dxa"/>
            <w:tcBorders>
              <w:top w:val="nil"/>
              <w:left w:val="nil"/>
              <w:bottom w:val="nil"/>
              <w:right w:val="nil"/>
            </w:tcBorders>
          </w:tcPr>
          <w:p w14:paraId="294C35C2" w14:textId="77777777" w:rsidR="008A3D47" w:rsidRPr="009201E7" w:rsidRDefault="008A3D47" w:rsidP="008A3D47">
            <w:pPr>
              <w:widowControl w:val="0"/>
              <w:autoSpaceDE w:val="0"/>
              <w:autoSpaceDN w:val="0"/>
              <w:adjustRightInd w:val="0"/>
              <w:spacing w:line="360" w:lineRule="auto"/>
              <w:jc w:val="center"/>
            </w:pPr>
            <w:r w:rsidRPr="009201E7">
              <w:t>756</w:t>
            </w:r>
          </w:p>
        </w:tc>
        <w:tc>
          <w:tcPr>
            <w:tcW w:w="1178" w:type="dxa"/>
            <w:tcBorders>
              <w:top w:val="nil"/>
              <w:left w:val="nil"/>
              <w:bottom w:val="nil"/>
              <w:right w:val="nil"/>
            </w:tcBorders>
          </w:tcPr>
          <w:p w14:paraId="6BB70DD8" w14:textId="77777777" w:rsidR="008A3D47" w:rsidRPr="009201E7" w:rsidRDefault="008A3D47" w:rsidP="008A3D47">
            <w:pPr>
              <w:widowControl w:val="0"/>
              <w:autoSpaceDE w:val="0"/>
              <w:autoSpaceDN w:val="0"/>
              <w:adjustRightInd w:val="0"/>
              <w:spacing w:line="360" w:lineRule="auto"/>
              <w:jc w:val="center"/>
            </w:pPr>
            <w:r>
              <w:t>0.239</w:t>
            </w:r>
          </w:p>
        </w:tc>
        <w:tc>
          <w:tcPr>
            <w:tcW w:w="1178" w:type="dxa"/>
            <w:tcBorders>
              <w:top w:val="nil"/>
              <w:left w:val="nil"/>
              <w:bottom w:val="nil"/>
              <w:right w:val="nil"/>
            </w:tcBorders>
          </w:tcPr>
          <w:p w14:paraId="689B046A" w14:textId="77777777" w:rsidR="008A3D47" w:rsidRPr="009201E7" w:rsidRDefault="008A3D47" w:rsidP="008A3D47">
            <w:pPr>
              <w:widowControl w:val="0"/>
              <w:autoSpaceDE w:val="0"/>
              <w:autoSpaceDN w:val="0"/>
              <w:adjustRightInd w:val="0"/>
              <w:spacing w:line="360" w:lineRule="auto"/>
              <w:jc w:val="center"/>
            </w:pPr>
            <w:r>
              <w:t>0.116</w:t>
            </w:r>
          </w:p>
        </w:tc>
        <w:tc>
          <w:tcPr>
            <w:tcW w:w="1178" w:type="dxa"/>
            <w:tcBorders>
              <w:top w:val="nil"/>
              <w:left w:val="nil"/>
              <w:bottom w:val="nil"/>
              <w:right w:val="nil"/>
            </w:tcBorders>
          </w:tcPr>
          <w:p w14:paraId="1E05348C" w14:textId="77777777" w:rsidR="008A3D47" w:rsidRPr="009201E7" w:rsidRDefault="008A3D47" w:rsidP="008A3D47">
            <w:pPr>
              <w:widowControl w:val="0"/>
              <w:autoSpaceDE w:val="0"/>
              <w:autoSpaceDN w:val="0"/>
              <w:adjustRightInd w:val="0"/>
              <w:spacing w:line="360" w:lineRule="auto"/>
              <w:jc w:val="center"/>
            </w:pPr>
            <w:r>
              <w:t>0.457</w:t>
            </w:r>
          </w:p>
        </w:tc>
        <w:tc>
          <w:tcPr>
            <w:tcW w:w="1178" w:type="dxa"/>
            <w:tcBorders>
              <w:top w:val="nil"/>
              <w:left w:val="nil"/>
              <w:bottom w:val="nil"/>
              <w:right w:val="nil"/>
            </w:tcBorders>
          </w:tcPr>
          <w:p w14:paraId="48BD90C3" w14:textId="77777777" w:rsidR="008A3D47" w:rsidRPr="009201E7" w:rsidRDefault="008A3D47" w:rsidP="008A3D47">
            <w:pPr>
              <w:widowControl w:val="0"/>
              <w:autoSpaceDE w:val="0"/>
              <w:autoSpaceDN w:val="0"/>
              <w:adjustRightInd w:val="0"/>
              <w:spacing w:line="360" w:lineRule="auto"/>
              <w:jc w:val="center"/>
            </w:pPr>
            <w:r>
              <w:t>0</w:t>
            </w:r>
          </w:p>
        </w:tc>
        <w:tc>
          <w:tcPr>
            <w:tcW w:w="1178" w:type="dxa"/>
            <w:tcBorders>
              <w:top w:val="nil"/>
              <w:left w:val="nil"/>
              <w:bottom w:val="nil"/>
              <w:right w:val="nil"/>
            </w:tcBorders>
          </w:tcPr>
          <w:p w14:paraId="2B6761A2" w14:textId="77777777" w:rsidR="008A3D47" w:rsidRPr="009201E7" w:rsidRDefault="008A3D47" w:rsidP="008A3D47">
            <w:pPr>
              <w:widowControl w:val="0"/>
              <w:autoSpaceDE w:val="0"/>
              <w:autoSpaceDN w:val="0"/>
              <w:adjustRightInd w:val="0"/>
              <w:spacing w:line="360" w:lineRule="auto"/>
              <w:jc w:val="center"/>
            </w:pPr>
            <w:r>
              <w:t>6.19</w:t>
            </w:r>
          </w:p>
        </w:tc>
      </w:tr>
      <w:tr w:rsidR="008A3D47" w:rsidRPr="009201E7" w14:paraId="4A25A50E" w14:textId="77777777" w:rsidTr="008A3D47">
        <w:trPr>
          <w:trHeight w:hRule="exact" w:val="378"/>
          <w:jc w:val="center"/>
        </w:trPr>
        <w:tc>
          <w:tcPr>
            <w:tcW w:w="1873" w:type="dxa"/>
            <w:tcBorders>
              <w:top w:val="nil"/>
              <w:left w:val="nil"/>
              <w:bottom w:val="nil"/>
              <w:right w:val="nil"/>
            </w:tcBorders>
          </w:tcPr>
          <w:p w14:paraId="3BD3B306" w14:textId="77777777" w:rsidR="008A3D47" w:rsidRPr="009201E7" w:rsidRDefault="008A3D47" w:rsidP="008A3D47">
            <w:pPr>
              <w:widowControl w:val="0"/>
              <w:autoSpaceDE w:val="0"/>
              <w:autoSpaceDN w:val="0"/>
              <w:adjustRightInd w:val="0"/>
              <w:spacing w:line="360" w:lineRule="auto"/>
            </w:pPr>
            <w:r>
              <w:t>LEV</w:t>
            </w:r>
          </w:p>
        </w:tc>
        <w:tc>
          <w:tcPr>
            <w:tcW w:w="1178" w:type="dxa"/>
            <w:tcBorders>
              <w:top w:val="nil"/>
              <w:left w:val="nil"/>
              <w:bottom w:val="nil"/>
              <w:right w:val="nil"/>
            </w:tcBorders>
          </w:tcPr>
          <w:p w14:paraId="4387B629" w14:textId="77777777" w:rsidR="008A3D47" w:rsidRPr="009201E7" w:rsidRDefault="008A3D47" w:rsidP="008A3D47">
            <w:pPr>
              <w:widowControl w:val="0"/>
              <w:autoSpaceDE w:val="0"/>
              <w:autoSpaceDN w:val="0"/>
              <w:adjustRightInd w:val="0"/>
              <w:spacing w:line="360" w:lineRule="auto"/>
              <w:jc w:val="center"/>
            </w:pPr>
            <w:r w:rsidRPr="009201E7">
              <w:t>756</w:t>
            </w:r>
          </w:p>
        </w:tc>
        <w:tc>
          <w:tcPr>
            <w:tcW w:w="1178" w:type="dxa"/>
            <w:tcBorders>
              <w:top w:val="nil"/>
              <w:left w:val="nil"/>
              <w:bottom w:val="nil"/>
              <w:right w:val="nil"/>
            </w:tcBorders>
          </w:tcPr>
          <w:p w14:paraId="48641996" w14:textId="77777777" w:rsidR="008A3D47" w:rsidRPr="009201E7" w:rsidRDefault="008A3D47" w:rsidP="008A3D47">
            <w:pPr>
              <w:widowControl w:val="0"/>
              <w:autoSpaceDE w:val="0"/>
              <w:autoSpaceDN w:val="0"/>
              <w:adjustRightInd w:val="0"/>
              <w:spacing w:line="360" w:lineRule="auto"/>
              <w:jc w:val="center"/>
            </w:pPr>
            <w:r>
              <w:t>2.027</w:t>
            </w:r>
          </w:p>
        </w:tc>
        <w:tc>
          <w:tcPr>
            <w:tcW w:w="1178" w:type="dxa"/>
            <w:tcBorders>
              <w:top w:val="nil"/>
              <w:left w:val="nil"/>
              <w:bottom w:val="nil"/>
              <w:right w:val="nil"/>
            </w:tcBorders>
          </w:tcPr>
          <w:p w14:paraId="43366F67" w14:textId="77777777" w:rsidR="008A3D47" w:rsidRPr="009201E7" w:rsidRDefault="008A3D47" w:rsidP="008A3D47">
            <w:pPr>
              <w:widowControl w:val="0"/>
              <w:autoSpaceDE w:val="0"/>
              <w:autoSpaceDN w:val="0"/>
              <w:adjustRightInd w:val="0"/>
              <w:spacing w:line="360" w:lineRule="auto"/>
              <w:jc w:val="center"/>
            </w:pPr>
            <w:r>
              <w:t>1.231</w:t>
            </w:r>
          </w:p>
        </w:tc>
        <w:tc>
          <w:tcPr>
            <w:tcW w:w="1178" w:type="dxa"/>
            <w:tcBorders>
              <w:top w:val="nil"/>
              <w:left w:val="nil"/>
              <w:bottom w:val="nil"/>
              <w:right w:val="nil"/>
            </w:tcBorders>
          </w:tcPr>
          <w:p w14:paraId="1A5C8914" w14:textId="77777777" w:rsidR="008A3D47" w:rsidRPr="009201E7" w:rsidRDefault="008A3D47" w:rsidP="008A3D47">
            <w:pPr>
              <w:widowControl w:val="0"/>
              <w:autoSpaceDE w:val="0"/>
              <w:autoSpaceDN w:val="0"/>
              <w:adjustRightInd w:val="0"/>
              <w:spacing w:line="360" w:lineRule="auto"/>
              <w:jc w:val="center"/>
            </w:pPr>
            <w:r>
              <w:t>2.572</w:t>
            </w:r>
          </w:p>
        </w:tc>
        <w:tc>
          <w:tcPr>
            <w:tcW w:w="1178" w:type="dxa"/>
            <w:tcBorders>
              <w:top w:val="nil"/>
              <w:left w:val="nil"/>
              <w:bottom w:val="nil"/>
              <w:right w:val="nil"/>
            </w:tcBorders>
          </w:tcPr>
          <w:p w14:paraId="6B0382C1" w14:textId="77777777" w:rsidR="008A3D47" w:rsidRPr="009201E7" w:rsidRDefault="008A3D47" w:rsidP="008A3D47">
            <w:pPr>
              <w:widowControl w:val="0"/>
              <w:autoSpaceDE w:val="0"/>
              <w:autoSpaceDN w:val="0"/>
              <w:adjustRightInd w:val="0"/>
              <w:spacing w:line="360" w:lineRule="auto"/>
              <w:jc w:val="center"/>
            </w:pPr>
            <w:r w:rsidRPr="009201E7">
              <w:t>0</w:t>
            </w:r>
          </w:p>
        </w:tc>
        <w:tc>
          <w:tcPr>
            <w:tcW w:w="1178" w:type="dxa"/>
            <w:tcBorders>
              <w:top w:val="nil"/>
              <w:left w:val="nil"/>
              <w:bottom w:val="nil"/>
              <w:right w:val="nil"/>
            </w:tcBorders>
          </w:tcPr>
          <w:p w14:paraId="00BC12B0" w14:textId="77777777" w:rsidR="008A3D47" w:rsidRPr="009201E7" w:rsidRDefault="008A3D47" w:rsidP="008A3D47">
            <w:pPr>
              <w:widowControl w:val="0"/>
              <w:autoSpaceDE w:val="0"/>
              <w:autoSpaceDN w:val="0"/>
              <w:adjustRightInd w:val="0"/>
              <w:spacing w:line="360" w:lineRule="auto"/>
              <w:jc w:val="center"/>
            </w:pPr>
            <w:r>
              <w:t>17.617</w:t>
            </w:r>
          </w:p>
        </w:tc>
      </w:tr>
      <w:tr w:rsidR="008A3D47" w:rsidRPr="009201E7" w14:paraId="20C89B1A" w14:textId="77777777" w:rsidTr="008A3D47">
        <w:trPr>
          <w:trHeight w:hRule="exact" w:val="340"/>
          <w:jc w:val="center"/>
        </w:trPr>
        <w:tc>
          <w:tcPr>
            <w:tcW w:w="1873" w:type="dxa"/>
            <w:tcBorders>
              <w:top w:val="nil"/>
              <w:left w:val="nil"/>
              <w:bottom w:val="nil"/>
              <w:right w:val="nil"/>
            </w:tcBorders>
          </w:tcPr>
          <w:p w14:paraId="2139EFFE" w14:textId="77777777" w:rsidR="008A3D47" w:rsidRPr="009201E7" w:rsidRDefault="008A3D47" w:rsidP="008A3D47">
            <w:pPr>
              <w:widowControl w:val="0"/>
              <w:autoSpaceDE w:val="0"/>
              <w:autoSpaceDN w:val="0"/>
              <w:adjustRightInd w:val="0"/>
              <w:spacing w:line="360" w:lineRule="auto"/>
            </w:pPr>
            <w:r>
              <w:t>FSIZE</w:t>
            </w:r>
          </w:p>
        </w:tc>
        <w:tc>
          <w:tcPr>
            <w:tcW w:w="1178" w:type="dxa"/>
            <w:tcBorders>
              <w:top w:val="nil"/>
              <w:left w:val="nil"/>
              <w:bottom w:val="nil"/>
              <w:right w:val="nil"/>
            </w:tcBorders>
          </w:tcPr>
          <w:p w14:paraId="46B8A369" w14:textId="77777777" w:rsidR="008A3D47" w:rsidRPr="009201E7" w:rsidRDefault="008A3D47" w:rsidP="008A3D47">
            <w:pPr>
              <w:widowControl w:val="0"/>
              <w:autoSpaceDE w:val="0"/>
              <w:autoSpaceDN w:val="0"/>
              <w:adjustRightInd w:val="0"/>
              <w:spacing w:line="360" w:lineRule="auto"/>
              <w:jc w:val="center"/>
            </w:pPr>
            <w:r w:rsidRPr="009201E7">
              <w:t>756</w:t>
            </w:r>
          </w:p>
        </w:tc>
        <w:tc>
          <w:tcPr>
            <w:tcW w:w="1178" w:type="dxa"/>
            <w:tcBorders>
              <w:top w:val="nil"/>
              <w:left w:val="nil"/>
              <w:bottom w:val="nil"/>
              <w:right w:val="nil"/>
            </w:tcBorders>
          </w:tcPr>
          <w:p w14:paraId="3461DF91" w14:textId="77777777" w:rsidR="008A3D47" w:rsidRPr="009201E7" w:rsidRDefault="008A3D47" w:rsidP="008A3D47">
            <w:pPr>
              <w:widowControl w:val="0"/>
              <w:autoSpaceDE w:val="0"/>
              <w:autoSpaceDN w:val="0"/>
              <w:adjustRightInd w:val="0"/>
              <w:spacing w:line="360" w:lineRule="auto"/>
              <w:jc w:val="center"/>
            </w:pPr>
            <w:r>
              <w:t xml:space="preserve">9.911              </w:t>
            </w:r>
          </w:p>
        </w:tc>
        <w:tc>
          <w:tcPr>
            <w:tcW w:w="1178" w:type="dxa"/>
            <w:tcBorders>
              <w:top w:val="nil"/>
              <w:left w:val="nil"/>
              <w:bottom w:val="nil"/>
              <w:right w:val="nil"/>
            </w:tcBorders>
          </w:tcPr>
          <w:p w14:paraId="29CA9126" w14:textId="77777777" w:rsidR="008A3D47" w:rsidRPr="009201E7" w:rsidRDefault="008A3D47" w:rsidP="008A3D47">
            <w:pPr>
              <w:widowControl w:val="0"/>
              <w:autoSpaceDE w:val="0"/>
              <w:autoSpaceDN w:val="0"/>
              <w:adjustRightInd w:val="0"/>
              <w:spacing w:line="360" w:lineRule="auto"/>
              <w:jc w:val="center"/>
            </w:pPr>
            <w:r>
              <w:t>13.143</w:t>
            </w:r>
          </w:p>
        </w:tc>
        <w:tc>
          <w:tcPr>
            <w:tcW w:w="1178" w:type="dxa"/>
            <w:tcBorders>
              <w:top w:val="nil"/>
              <w:left w:val="nil"/>
              <w:bottom w:val="nil"/>
              <w:right w:val="nil"/>
            </w:tcBorders>
          </w:tcPr>
          <w:p w14:paraId="5B2F1F9E" w14:textId="77777777" w:rsidR="008A3D47" w:rsidRPr="009201E7" w:rsidRDefault="008A3D47" w:rsidP="008A3D47">
            <w:pPr>
              <w:widowControl w:val="0"/>
              <w:autoSpaceDE w:val="0"/>
              <w:autoSpaceDN w:val="0"/>
              <w:adjustRightInd w:val="0"/>
              <w:spacing w:line="360" w:lineRule="auto"/>
              <w:jc w:val="center"/>
            </w:pPr>
            <w:r>
              <w:t>6.214</w:t>
            </w:r>
          </w:p>
        </w:tc>
        <w:tc>
          <w:tcPr>
            <w:tcW w:w="1178" w:type="dxa"/>
            <w:tcBorders>
              <w:top w:val="nil"/>
              <w:left w:val="nil"/>
              <w:bottom w:val="nil"/>
              <w:right w:val="nil"/>
            </w:tcBorders>
          </w:tcPr>
          <w:p w14:paraId="39DCCECF" w14:textId="77777777" w:rsidR="008A3D47" w:rsidRPr="009201E7" w:rsidRDefault="008A3D47" w:rsidP="008A3D47">
            <w:pPr>
              <w:widowControl w:val="0"/>
              <w:autoSpaceDE w:val="0"/>
              <w:autoSpaceDN w:val="0"/>
              <w:adjustRightInd w:val="0"/>
              <w:spacing w:line="360" w:lineRule="auto"/>
              <w:jc w:val="center"/>
            </w:pPr>
            <w:r>
              <w:t>0.073</w:t>
            </w:r>
          </w:p>
        </w:tc>
        <w:tc>
          <w:tcPr>
            <w:tcW w:w="1178" w:type="dxa"/>
            <w:tcBorders>
              <w:top w:val="nil"/>
              <w:left w:val="nil"/>
              <w:bottom w:val="nil"/>
              <w:right w:val="nil"/>
            </w:tcBorders>
          </w:tcPr>
          <w:p w14:paraId="66F6AFF1" w14:textId="77777777" w:rsidR="008A3D47" w:rsidRPr="009201E7" w:rsidRDefault="008A3D47" w:rsidP="008A3D47">
            <w:pPr>
              <w:widowControl w:val="0"/>
              <w:autoSpaceDE w:val="0"/>
              <w:autoSpaceDN w:val="0"/>
              <w:adjustRightInd w:val="0"/>
              <w:spacing w:line="360" w:lineRule="auto"/>
              <w:jc w:val="center"/>
            </w:pPr>
            <w:r>
              <w:t>19.709</w:t>
            </w:r>
          </w:p>
        </w:tc>
      </w:tr>
      <w:tr w:rsidR="008A3D47" w:rsidRPr="009201E7" w14:paraId="329E713C" w14:textId="77777777" w:rsidTr="008A3D47">
        <w:trPr>
          <w:trHeight w:hRule="exact" w:val="340"/>
          <w:jc w:val="center"/>
        </w:trPr>
        <w:tc>
          <w:tcPr>
            <w:tcW w:w="1873" w:type="dxa"/>
            <w:tcBorders>
              <w:top w:val="nil"/>
              <w:left w:val="nil"/>
              <w:right w:val="nil"/>
            </w:tcBorders>
          </w:tcPr>
          <w:p w14:paraId="4AF2F329" w14:textId="77777777" w:rsidR="008A3D47" w:rsidRPr="009201E7" w:rsidRDefault="008A3D47" w:rsidP="008A3D47">
            <w:pPr>
              <w:widowControl w:val="0"/>
              <w:autoSpaceDE w:val="0"/>
              <w:autoSpaceDN w:val="0"/>
              <w:adjustRightInd w:val="0"/>
              <w:spacing w:line="360" w:lineRule="auto"/>
            </w:pPr>
            <w:r>
              <w:t>BIG4</w:t>
            </w:r>
          </w:p>
        </w:tc>
        <w:tc>
          <w:tcPr>
            <w:tcW w:w="1178" w:type="dxa"/>
            <w:tcBorders>
              <w:top w:val="nil"/>
              <w:left w:val="nil"/>
              <w:right w:val="nil"/>
            </w:tcBorders>
          </w:tcPr>
          <w:p w14:paraId="65674701" w14:textId="77777777" w:rsidR="008A3D47" w:rsidRPr="009201E7" w:rsidRDefault="008A3D47" w:rsidP="008A3D47">
            <w:pPr>
              <w:widowControl w:val="0"/>
              <w:autoSpaceDE w:val="0"/>
              <w:autoSpaceDN w:val="0"/>
              <w:adjustRightInd w:val="0"/>
              <w:spacing w:line="360" w:lineRule="auto"/>
              <w:jc w:val="center"/>
            </w:pPr>
            <w:r w:rsidRPr="009201E7">
              <w:t>756</w:t>
            </w:r>
          </w:p>
        </w:tc>
        <w:tc>
          <w:tcPr>
            <w:tcW w:w="1178" w:type="dxa"/>
            <w:tcBorders>
              <w:top w:val="nil"/>
              <w:left w:val="nil"/>
              <w:right w:val="nil"/>
            </w:tcBorders>
          </w:tcPr>
          <w:p w14:paraId="461BECC5" w14:textId="77777777" w:rsidR="008A3D47" w:rsidRPr="009201E7" w:rsidRDefault="008A3D47" w:rsidP="008A3D47">
            <w:pPr>
              <w:widowControl w:val="0"/>
              <w:autoSpaceDE w:val="0"/>
              <w:autoSpaceDN w:val="0"/>
              <w:adjustRightInd w:val="0"/>
              <w:spacing w:line="360" w:lineRule="auto"/>
              <w:jc w:val="center"/>
            </w:pPr>
          </w:p>
        </w:tc>
        <w:tc>
          <w:tcPr>
            <w:tcW w:w="1178" w:type="dxa"/>
            <w:tcBorders>
              <w:top w:val="nil"/>
              <w:left w:val="nil"/>
              <w:right w:val="nil"/>
            </w:tcBorders>
          </w:tcPr>
          <w:p w14:paraId="385721A0" w14:textId="77777777" w:rsidR="008A3D47" w:rsidRPr="009201E7" w:rsidRDefault="008A3D47" w:rsidP="008A3D47">
            <w:pPr>
              <w:widowControl w:val="0"/>
              <w:autoSpaceDE w:val="0"/>
              <w:autoSpaceDN w:val="0"/>
              <w:adjustRightInd w:val="0"/>
              <w:spacing w:line="360" w:lineRule="auto"/>
              <w:jc w:val="center"/>
            </w:pPr>
          </w:p>
        </w:tc>
        <w:tc>
          <w:tcPr>
            <w:tcW w:w="1178" w:type="dxa"/>
            <w:tcBorders>
              <w:top w:val="nil"/>
              <w:left w:val="nil"/>
              <w:right w:val="nil"/>
            </w:tcBorders>
          </w:tcPr>
          <w:p w14:paraId="01B1CBB9" w14:textId="77777777" w:rsidR="008A3D47" w:rsidRPr="009201E7" w:rsidRDefault="008A3D47" w:rsidP="008A3D47">
            <w:pPr>
              <w:widowControl w:val="0"/>
              <w:autoSpaceDE w:val="0"/>
              <w:autoSpaceDN w:val="0"/>
              <w:adjustRightInd w:val="0"/>
              <w:spacing w:line="360" w:lineRule="auto"/>
              <w:jc w:val="center"/>
            </w:pPr>
          </w:p>
        </w:tc>
        <w:tc>
          <w:tcPr>
            <w:tcW w:w="1178" w:type="dxa"/>
            <w:tcBorders>
              <w:top w:val="nil"/>
              <w:left w:val="nil"/>
              <w:right w:val="nil"/>
            </w:tcBorders>
          </w:tcPr>
          <w:p w14:paraId="1CE12E75" w14:textId="77777777" w:rsidR="008A3D47" w:rsidRPr="009201E7" w:rsidRDefault="008A3D47" w:rsidP="008A3D47">
            <w:pPr>
              <w:widowControl w:val="0"/>
              <w:autoSpaceDE w:val="0"/>
              <w:autoSpaceDN w:val="0"/>
              <w:adjustRightInd w:val="0"/>
              <w:spacing w:line="360" w:lineRule="auto"/>
              <w:jc w:val="center"/>
            </w:pPr>
            <w:r w:rsidRPr="009201E7">
              <w:t>0</w:t>
            </w:r>
          </w:p>
        </w:tc>
        <w:tc>
          <w:tcPr>
            <w:tcW w:w="1178" w:type="dxa"/>
            <w:tcBorders>
              <w:top w:val="nil"/>
              <w:left w:val="nil"/>
              <w:right w:val="nil"/>
            </w:tcBorders>
          </w:tcPr>
          <w:p w14:paraId="05C00578" w14:textId="77777777" w:rsidR="008A3D47" w:rsidRPr="009201E7" w:rsidRDefault="008A3D47" w:rsidP="008A3D47">
            <w:pPr>
              <w:widowControl w:val="0"/>
              <w:autoSpaceDE w:val="0"/>
              <w:autoSpaceDN w:val="0"/>
              <w:adjustRightInd w:val="0"/>
              <w:spacing w:line="360" w:lineRule="auto"/>
              <w:jc w:val="center"/>
            </w:pPr>
            <w:r w:rsidRPr="009201E7">
              <w:t>1</w:t>
            </w:r>
          </w:p>
        </w:tc>
      </w:tr>
      <w:tr w:rsidR="008A3D47" w:rsidRPr="009201E7" w14:paraId="294BB908" w14:textId="77777777" w:rsidTr="008A3D47">
        <w:trPr>
          <w:trHeight w:hRule="exact" w:val="306"/>
          <w:jc w:val="center"/>
        </w:trPr>
        <w:tc>
          <w:tcPr>
            <w:tcW w:w="1873" w:type="dxa"/>
            <w:tcBorders>
              <w:top w:val="nil"/>
              <w:left w:val="nil"/>
              <w:right w:val="nil"/>
            </w:tcBorders>
          </w:tcPr>
          <w:p w14:paraId="036ADDD2" w14:textId="77777777" w:rsidR="008A3D47" w:rsidRDefault="008A3D47" w:rsidP="008A3D47">
            <w:pPr>
              <w:widowControl w:val="0"/>
              <w:autoSpaceDE w:val="0"/>
              <w:autoSpaceDN w:val="0"/>
              <w:adjustRightInd w:val="0"/>
              <w:spacing w:line="360" w:lineRule="auto"/>
            </w:pPr>
            <w:r>
              <w:t>DUAL</w:t>
            </w:r>
          </w:p>
          <w:p w14:paraId="35CC7EA8" w14:textId="77777777" w:rsidR="008A3D47" w:rsidRDefault="008A3D47" w:rsidP="008A3D47">
            <w:pPr>
              <w:widowControl w:val="0"/>
              <w:autoSpaceDE w:val="0"/>
              <w:autoSpaceDN w:val="0"/>
              <w:adjustRightInd w:val="0"/>
              <w:spacing w:line="360" w:lineRule="auto"/>
            </w:pPr>
          </w:p>
          <w:p w14:paraId="0123C3CF" w14:textId="77777777" w:rsidR="008A3D47" w:rsidRDefault="008A3D47" w:rsidP="008A3D47">
            <w:pPr>
              <w:widowControl w:val="0"/>
              <w:autoSpaceDE w:val="0"/>
              <w:autoSpaceDN w:val="0"/>
              <w:adjustRightInd w:val="0"/>
              <w:spacing w:line="360" w:lineRule="auto"/>
            </w:pPr>
          </w:p>
          <w:p w14:paraId="541B8855" w14:textId="77777777" w:rsidR="008A3D47" w:rsidRDefault="008A3D47" w:rsidP="008A3D47">
            <w:pPr>
              <w:widowControl w:val="0"/>
              <w:autoSpaceDE w:val="0"/>
              <w:autoSpaceDN w:val="0"/>
              <w:adjustRightInd w:val="0"/>
              <w:spacing w:line="360" w:lineRule="auto"/>
            </w:pPr>
          </w:p>
          <w:p w14:paraId="3F49FE32" w14:textId="77777777" w:rsidR="008A3D47" w:rsidRDefault="008A3D47" w:rsidP="008A3D47">
            <w:pPr>
              <w:widowControl w:val="0"/>
              <w:autoSpaceDE w:val="0"/>
              <w:autoSpaceDN w:val="0"/>
              <w:adjustRightInd w:val="0"/>
              <w:spacing w:line="360" w:lineRule="auto"/>
            </w:pPr>
          </w:p>
          <w:p w14:paraId="14A996E3" w14:textId="77777777" w:rsidR="008A3D47" w:rsidRDefault="008A3D47" w:rsidP="008A3D47">
            <w:pPr>
              <w:widowControl w:val="0"/>
              <w:autoSpaceDE w:val="0"/>
              <w:autoSpaceDN w:val="0"/>
              <w:adjustRightInd w:val="0"/>
              <w:spacing w:line="360" w:lineRule="auto"/>
            </w:pPr>
          </w:p>
          <w:p w14:paraId="490E4A52" w14:textId="77777777" w:rsidR="008A3D47" w:rsidRDefault="008A3D47" w:rsidP="008A3D47">
            <w:pPr>
              <w:widowControl w:val="0"/>
              <w:autoSpaceDE w:val="0"/>
              <w:autoSpaceDN w:val="0"/>
              <w:adjustRightInd w:val="0"/>
              <w:spacing w:line="360" w:lineRule="auto"/>
            </w:pPr>
          </w:p>
          <w:p w14:paraId="44460D0C" w14:textId="77777777" w:rsidR="008A3D47" w:rsidRDefault="008A3D47" w:rsidP="008A3D47">
            <w:pPr>
              <w:widowControl w:val="0"/>
              <w:autoSpaceDE w:val="0"/>
              <w:autoSpaceDN w:val="0"/>
              <w:adjustRightInd w:val="0"/>
              <w:spacing w:line="360" w:lineRule="auto"/>
            </w:pPr>
          </w:p>
          <w:p w14:paraId="4E6F565B" w14:textId="77777777" w:rsidR="008A3D47" w:rsidRDefault="008A3D47" w:rsidP="008A3D47">
            <w:pPr>
              <w:widowControl w:val="0"/>
              <w:autoSpaceDE w:val="0"/>
              <w:autoSpaceDN w:val="0"/>
              <w:adjustRightInd w:val="0"/>
              <w:spacing w:line="360" w:lineRule="auto"/>
            </w:pPr>
          </w:p>
          <w:p w14:paraId="2050C876" w14:textId="77777777" w:rsidR="008A3D47" w:rsidRDefault="008A3D47" w:rsidP="008A3D47">
            <w:pPr>
              <w:widowControl w:val="0"/>
              <w:autoSpaceDE w:val="0"/>
              <w:autoSpaceDN w:val="0"/>
              <w:adjustRightInd w:val="0"/>
              <w:spacing w:line="360" w:lineRule="auto"/>
            </w:pPr>
          </w:p>
          <w:p w14:paraId="562723D1" w14:textId="77777777" w:rsidR="008A3D47" w:rsidRPr="009201E7" w:rsidRDefault="008A3D47" w:rsidP="008A3D47">
            <w:pPr>
              <w:widowControl w:val="0"/>
              <w:autoSpaceDE w:val="0"/>
              <w:autoSpaceDN w:val="0"/>
              <w:adjustRightInd w:val="0"/>
              <w:spacing w:line="360" w:lineRule="auto"/>
            </w:pPr>
            <w:r w:rsidRPr="009201E7">
              <w:t xml:space="preserve">                                           </w:t>
            </w:r>
          </w:p>
        </w:tc>
        <w:tc>
          <w:tcPr>
            <w:tcW w:w="1178" w:type="dxa"/>
            <w:tcBorders>
              <w:top w:val="nil"/>
              <w:left w:val="nil"/>
              <w:right w:val="nil"/>
            </w:tcBorders>
          </w:tcPr>
          <w:p w14:paraId="3695F7AC" w14:textId="77777777" w:rsidR="008A3D47" w:rsidRPr="009201E7" w:rsidRDefault="008A3D47" w:rsidP="008A3D47">
            <w:pPr>
              <w:widowControl w:val="0"/>
              <w:autoSpaceDE w:val="0"/>
              <w:autoSpaceDN w:val="0"/>
              <w:adjustRightInd w:val="0"/>
              <w:spacing w:line="360" w:lineRule="auto"/>
              <w:jc w:val="center"/>
            </w:pPr>
            <w:r w:rsidRPr="009201E7">
              <w:t>756</w:t>
            </w:r>
          </w:p>
        </w:tc>
        <w:tc>
          <w:tcPr>
            <w:tcW w:w="1178" w:type="dxa"/>
            <w:tcBorders>
              <w:top w:val="nil"/>
              <w:left w:val="nil"/>
              <w:right w:val="nil"/>
            </w:tcBorders>
          </w:tcPr>
          <w:p w14:paraId="324B46CB" w14:textId="77777777" w:rsidR="008A3D47" w:rsidRPr="009201E7" w:rsidRDefault="008A3D47" w:rsidP="008A3D47">
            <w:pPr>
              <w:widowControl w:val="0"/>
              <w:autoSpaceDE w:val="0"/>
              <w:autoSpaceDN w:val="0"/>
              <w:adjustRightInd w:val="0"/>
              <w:spacing w:line="360" w:lineRule="auto"/>
              <w:jc w:val="center"/>
            </w:pPr>
          </w:p>
        </w:tc>
        <w:tc>
          <w:tcPr>
            <w:tcW w:w="1178" w:type="dxa"/>
            <w:tcBorders>
              <w:top w:val="nil"/>
              <w:left w:val="nil"/>
              <w:right w:val="nil"/>
            </w:tcBorders>
          </w:tcPr>
          <w:p w14:paraId="0CE7B443" w14:textId="77777777" w:rsidR="008A3D47" w:rsidRPr="009201E7" w:rsidRDefault="008A3D47" w:rsidP="008A3D47">
            <w:pPr>
              <w:widowControl w:val="0"/>
              <w:autoSpaceDE w:val="0"/>
              <w:autoSpaceDN w:val="0"/>
              <w:adjustRightInd w:val="0"/>
              <w:spacing w:line="360" w:lineRule="auto"/>
            </w:pPr>
          </w:p>
        </w:tc>
        <w:tc>
          <w:tcPr>
            <w:tcW w:w="1178" w:type="dxa"/>
            <w:tcBorders>
              <w:top w:val="nil"/>
              <w:left w:val="nil"/>
              <w:right w:val="nil"/>
            </w:tcBorders>
          </w:tcPr>
          <w:p w14:paraId="2FFB3200" w14:textId="77777777" w:rsidR="008A3D47" w:rsidRPr="009201E7" w:rsidRDefault="008A3D47" w:rsidP="008A3D47">
            <w:pPr>
              <w:widowControl w:val="0"/>
              <w:autoSpaceDE w:val="0"/>
              <w:autoSpaceDN w:val="0"/>
              <w:adjustRightInd w:val="0"/>
              <w:spacing w:line="360" w:lineRule="auto"/>
            </w:pPr>
          </w:p>
        </w:tc>
        <w:tc>
          <w:tcPr>
            <w:tcW w:w="1178" w:type="dxa"/>
            <w:tcBorders>
              <w:top w:val="nil"/>
              <w:left w:val="nil"/>
              <w:right w:val="nil"/>
            </w:tcBorders>
          </w:tcPr>
          <w:p w14:paraId="52BA04AA" w14:textId="77777777" w:rsidR="008A3D47" w:rsidRPr="009201E7" w:rsidRDefault="008A3D47" w:rsidP="008A3D47">
            <w:pPr>
              <w:widowControl w:val="0"/>
              <w:autoSpaceDE w:val="0"/>
              <w:autoSpaceDN w:val="0"/>
              <w:adjustRightInd w:val="0"/>
              <w:spacing w:line="360" w:lineRule="auto"/>
              <w:jc w:val="center"/>
            </w:pPr>
            <w:r>
              <w:t>0</w:t>
            </w:r>
          </w:p>
          <w:p w14:paraId="4551BF5B" w14:textId="77777777" w:rsidR="008A3D47" w:rsidRPr="009201E7" w:rsidRDefault="008A3D47" w:rsidP="008A3D47">
            <w:pPr>
              <w:widowControl w:val="0"/>
              <w:autoSpaceDE w:val="0"/>
              <w:autoSpaceDN w:val="0"/>
              <w:adjustRightInd w:val="0"/>
              <w:spacing w:line="360" w:lineRule="auto"/>
            </w:pPr>
          </w:p>
        </w:tc>
        <w:tc>
          <w:tcPr>
            <w:tcW w:w="1178" w:type="dxa"/>
            <w:tcBorders>
              <w:top w:val="nil"/>
              <w:left w:val="nil"/>
              <w:right w:val="nil"/>
            </w:tcBorders>
          </w:tcPr>
          <w:p w14:paraId="6C26D87A" w14:textId="77777777" w:rsidR="008A3D47" w:rsidRPr="009201E7" w:rsidRDefault="008A3D47" w:rsidP="008A3D47">
            <w:pPr>
              <w:widowControl w:val="0"/>
              <w:autoSpaceDE w:val="0"/>
              <w:autoSpaceDN w:val="0"/>
              <w:adjustRightInd w:val="0"/>
              <w:spacing w:line="360" w:lineRule="auto"/>
              <w:jc w:val="center"/>
            </w:pPr>
            <w:r>
              <w:t>1</w:t>
            </w:r>
          </w:p>
        </w:tc>
      </w:tr>
    </w:tbl>
    <w:p w14:paraId="5906335C" w14:textId="428EE8CB" w:rsidR="008A3D47" w:rsidRPr="00DA1DC9" w:rsidRDefault="008A3D47" w:rsidP="008A3D47">
      <w:pPr>
        <w:widowControl w:val="0"/>
        <w:autoSpaceDE w:val="0"/>
        <w:autoSpaceDN w:val="0"/>
        <w:adjustRightInd w:val="0"/>
        <w:spacing w:line="360" w:lineRule="auto"/>
      </w:pPr>
      <w:r>
        <w:t xml:space="preserve"> </w:t>
      </w:r>
      <w:r w:rsidRPr="00DA1DC9">
        <w:t>IND</w:t>
      </w:r>
      <w:r>
        <w:t xml:space="preserve">                            756                                                                       1                 5</w:t>
      </w:r>
    </w:p>
    <w:p w14:paraId="5DED26E3" w14:textId="77777777" w:rsidR="008A3D47" w:rsidRPr="009E2843" w:rsidRDefault="008A3D47" w:rsidP="008A3D47">
      <w:pPr>
        <w:jc w:val="both"/>
        <w:rPr>
          <w:rFonts w:ascii="Times" w:hAnsi="Times"/>
          <w:sz w:val="20"/>
          <w:szCs w:val="20"/>
        </w:rPr>
      </w:pPr>
      <w:r w:rsidRPr="009E2843">
        <w:rPr>
          <w:rFonts w:ascii="Times" w:hAnsi="Times"/>
          <w:b/>
          <w:i/>
          <w:sz w:val="20"/>
          <w:szCs w:val="20"/>
        </w:rPr>
        <w:t>Notes</w:t>
      </w:r>
      <w:r w:rsidRPr="009E2843">
        <w:rPr>
          <w:rFonts w:ascii="Times" w:hAnsi="Times"/>
          <w:sz w:val="20"/>
          <w:szCs w:val="20"/>
        </w:rPr>
        <w:t xml:space="preserve">: This table presents the result of the descriptive statistics for all the variables. It shows 756 numbers of observations for all the variables with their Mean, Median, Standard Deviations, Minimum and Maximum. Since all dummy variables do not vary/change hence we will not report Mean, Media or Standard Deviations for all dummy variables such as (BIG4, DUAL, IND) in this paper. The variables are defined as follows: </w:t>
      </w:r>
      <w:r w:rsidRPr="009E2843">
        <w:rPr>
          <w:sz w:val="20"/>
          <w:szCs w:val="20"/>
        </w:rPr>
        <w:t xml:space="preserve">Tobin’s Q is the ratio of total assets minus book value of equity plus market value of equity to total assets </w:t>
      </w:r>
      <w:r w:rsidRPr="009E2843">
        <w:rPr>
          <w:rFonts w:ascii="Times" w:hAnsi="Times"/>
          <w:sz w:val="20"/>
          <w:szCs w:val="20"/>
        </w:rPr>
        <w:t xml:space="preserve">(Chung and Pruitt, 1994); Audit committee (AC) is responsible for reviewing </w:t>
      </w:r>
      <w:r w:rsidRPr="009E2843">
        <w:rPr>
          <w:sz w:val="20"/>
          <w:szCs w:val="20"/>
        </w:rPr>
        <w:t xml:space="preserve">firm’s financial statements, audit process and risk management systems etc. </w:t>
      </w:r>
      <w:r w:rsidRPr="009E2843">
        <w:rPr>
          <w:rFonts w:ascii="Times" w:eastAsia="MS Mincho" w:hAnsi="Times"/>
          <w:sz w:val="20"/>
          <w:szCs w:val="20"/>
          <w:lang w:val="en-US"/>
        </w:rPr>
        <w:t xml:space="preserve"> </w:t>
      </w:r>
      <w:r w:rsidRPr="009E2843">
        <w:rPr>
          <w:rFonts w:ascii="Times" w:hAnsi="Times"/>
          <w:sz w:val="20"/>
          <w:szCs w:val="20"/>
        </w:rPr>
        <w:t xml:space="preserve">(GROWTH): is defined as the ratio of sales growth to total assets growth (Beiner et al., 2006). (LEV) is defined as the Percentage of total debt to total assets, (Modigliani and Miller 1958). (FSIZE): Is defined as the natural log of total assets (Botosan 1997). BIG4-are (PricewaterhouseCoopers, Deloitte &amp; Touche, Ernst&amp; Young and KPMG); (DUAL): Is defined as a situation where the firm is cross-listed in other countries (Haniffa and Cooke 2002; Black et al., 2006). Industry </w:t>
      </w:r>
      <w:r w:rsidRPr="009E2843">
        <w:rPr>
          <w:rFonts w:ascii="Times" w:hAnsi="Times"/>
          <w:sz w:val="20"/>
          <w:szCs w:val="20"/>
          <w:u w:val="single"/>
        </w:rPr>
        <w:t>(IND): classifies into 1. Investment services 2. Insurance 3. Mortgages 4.Investment Trust 5. Banking Services</w:t>
      </w:r>
      <w:r w:rsidRPr="009E2843">
        <w:rPr>
          <w:rFonts w:ascii="Times" w:hAnsi="Times"/>
          <w:sz w:val="20"/>
          <w:szCs w:val="20"/>
        </w:rPr>
        <w:t>.</w:t>
      </w:r>
    </w:p>
    <w:p w14:paraId="6DF9C3D4" w14:textId="77777777" w:rsidR="008A3D47" w:rsidRPr="00E23B63" w:rsidRDefault="008A3D47" w:rsidP="008A3D47"/>
    <w:p w14:paraId="22925150" w14:textId="068A98B6" w:rsidR="008A3D47" w:rsidRPr="009E2843" w:rsidRDefault="008A3D47" w:rsidP="008A3D47">
      <w:pPr>
        <w:widowControl w:val="0"/>
        <w:autoSpaceDE w:val="0"/>
        <w:autoSpaceDN w:val="0"/>
        <w:adjustRightInd w:val="0"/>
        <w:rPr>
          <w:rFonts w:ascii="Times" w:hAnsi="Times"/>
          <w:sz w:val="20"/>
          <w:szCs w:val="20"/>
        </w:rPr>
      </w:pPr>
    </w:p>
    <w:p w14:paraId="0656AF04" w14:textId="77777777" w:rsidR="00086EAE" w:rsidRPr="0054344B" w:rsidRDefault="00086EAE" w:rsidP="00086EAE">
      <w:pPr>
        <w:tabs>
          <w:tab w:val="left" w:pos="7133"/>
        </w:tabs>
        <w:rPr>
          <w:b/>
        </w:rPr>
      </w:pPr>
    </w:p>
    <w:p w14:paraId="4684E71F" w14:textId="77777777" w:rsidR="00086EAE" w:rsidRPr="0054344B" w:rsidRDefault="00086EAE" w:rsidP="00086EAE">
      <w:pPr>
        <w:tabs>
          <w:tab w:val="left" w:pos="7133"/>
        </w:tabs>
        <w:rPr>
          <w:b/>
        </w:rPr>
      </w:pPr>
    </w:p>
    <w:p w14:paraId="73A372B7" w14:textId="77777777" w:rsidR="00D27441" w:rsidRPr="0054344B" w:rsidRDefault="00D27441" w:rsidP="00D27441">
      <w:pPr>
        <w:tabs>
          <w:tab w:val="left" w:pos="7133"/>
        </w:tabs>
        <w:jc w:val="center"/>
        <w:rPr>
          <w:b/>
          <w:noProof w:val="0"/>
        </w:rPr>
      </w:pPr>
      <w:r w:rsidRPr="0054344B">
        <w:rPr>
          <w:b/>
          <w:noProof w:val="0"/>
        </w:rPr>
        <w:t>Table 4: Pearson correlation matrix</w:t>
      </w:r>
    </w:p>
    <w:p w14:paraId="6074CA3E" w14:textId="77777777" w:rsidR="00086EAE" w:rsidRPr="0054344B" w:rsidRDefault="00086EAE" w:rsidP="00086EAE">
      <w:pPr>
        <w:tabs>
          <w:tab w:val="left" w:pos="7133"/>
        </w:tabs>
        <w:rPr>
          <w:b/>
        </w:rPr>
      </w:pPr>
    </w:p>
    <w:p w14:paraId="51489970" w14:textId="05EC31AC" w:rsidR="00310ADF" w:rsidRPr="0054344B" w:rsidRDefault="00310ADF" w:rsidP="00086EAE">
      <w:pPr>
        <w:tabs>
          <w:tab w:val="left" w:pos="7133"/>
        </w:tabs>
        <w:rPr>
          <w:b/>
        </w:rPr>
        <w:sectPr w:rsidR="00310ADF" w:rsidRPr="0054344B" w:rsidSect="004348D9">
          <w:footerReference w:type="even" r:id="rId17"/>
          <w:footerReference w:type="default" r:id="rId18"/>
          <w:pgSz w:w="11900" w:h="16840"/>
          <w:pgMar w:top="1440" w:right="1361" w:bottom="1440" w:left="2041" w:header="709" w:footer="709" w:gutter="0"/>
          <w:cols w:space="708"/>
          <w:docGrid w:linePitch="360"/>
        </w:sectPr>
      </w:pPr>
      <w:r w:rsidRPr="0054344B">
        <w:rPr>
          <w:b/>
        </w:rPr>
        <w:drawing>
          <wp:inline distT="0" distB="0" distL="0" distR="0" wp14:anchorId="513A59D7" wp14:editId="524A2B2B">
            <wp:extent cx="5727700" cy="2200732"/>
            <wp:effectExtent l="0" t="0" r="0" b="952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7700" cy="2200732"/>
                    </a:xfrm>
                    <a:prstGeom prst="rect">
                      <a:avLst/>
                    </a:prstGeom>
                  </pic:spPr>
                </pic:pic>
              </a:graphicData>
            </a:graphic>
          </wp:inline>
        </w:drawing>
      </w:r>
    </w:p>
    <w:p w14:paraId="69FB854B" w14:textId="77777777" w:rsidR="00086EAE" w:rsidRPr="0054344B" w:rsidRDefault="00086EAE" w:rsidP="00086EAE">
      <w:pPr>
        <w:spacing w:line="360" w:lineRule="auto"/>
        <w:jc w:val="both"/>
        <w:rPr>
          <w:b/>
        </w:rPr>
      </w:pPr>
      <w:bookmarkStart w:id="4" w:name="OLE_LINK1"/>
      <w:r w:rsidRPr="0054344B">
        <w:rPr>
          <w:b/>
        </w:rPr>
        <w:lastRenderedPageBreak/>
        <w:t>Table 5: Audit Commi</w:t>
      </w:r>
      <w:r w:rsidR="003673A0" w:rsidRPr="0054344B">
        <w:rPr>
          <w:b/>
        </w:rPr>
        <w:t xml:space="preserve">ttee (AC) </w:t>
      </w:r>
      <w:r w:rsidRPr="0054344B">
        <w:rPr>
          <w:b/>
        </w:rPr>
        <w:t xml:space="preserve">impact on </w:t>
      </w:r>
      <w:r w:rsidR="008B33FC" w:rsidRPr="0054344B">
        <w:rPr>
          <w:b/>
        </w:rPr>
        <w:t xml:space="preserve">a </w:t>
      </w:r>
      <w:r w:rsidRPr="0054344B">
        <w:rPr>
          <w:b/>
        </w:rPr>
        <w:t>firm</w:t>
      </w:r>
      <w:r w:rsidR="008B33FC" w:rsidRPr="0054344B">
        <w:rPr>
          <w:b/>
        </w:rPr>
        <w:t>’</w:t>
      </w:r>
      <w:r w:rsidRPr="0054344B">
        <w:rPr>
          <w:b/>
        </w:rPr>
        <w:t xml:space="preserve">s Tobin’s Q Results </w:t>
      </w:r>
    </w:p>
    <w:tbl>
      <w:tblPr>
        <w:tblW w:w="5243" w:type="dxa"/>
        <w:tblLayout w:type="fixed"/>
        <w:tblLook w:val="0000" w:firstRow="0" w:lastRow="0" w:firstColumn="0" w:lastColumn="0" w:noHBand="0" w:noVBand="0"/>
      </w:tblPr>
      <w:tblGrid>
        <w:gridCol w:w="1511"/>
        <w:gridCol w:w="1837"/>
        <w:gridCol w:w="1895"/>
      </w:tblGrid>
      <w:tr w:rsidR="00086EAE" w:rsidRPr="0054344B" w14:paraId="7B8C9857" w14:textId="77777777" w:rsidTr="00086EAE">
        <w:trPr>
          <w:trHeight w:val="252"/>
        </w:trPr>
        <w:tc>
          <w:tcPr>
            <w:tcW w:w="1511" w:type="dxa"/>
            <w:tcBorders>
              <w:top w:val="single" w:sz="4" w:space="0" w:color="auto"/>
              <w:left w:val="nil"/>
              <w:bottom w:val="nil"/>
              <w:right w:val="nil"/>
            </w:tcBorders>
          </w:tcPr>
          <w:p w14:paraId="71358D3F" w14:textId="77777777" w:rsidR="00086EAE" w:rsidRPr="0054344B" w:rsidRDefault="00086EAE" w:rsidP="00086EAE">
            <w:pPr>
              <w:widowControl w:val="0"/>
              <w:autoSpaceDE w:val="0"/>
              <w:autoSpaceDN w:val="0"/>
              <w:adjustRightInd w:val="0"/>
            </w:pPr>
          </w:p>
        </w:tc>
        <w:tc>
          <w:tcPr>
            <w:tcW w:w="1837" w:type="dxa"/>
            <w:tcBorders>
              <w:top w:val="single" w:sz="4" w:space="0" w:color="auto"/>
              <w:left w:val="nil"/>
              <w:bottom w:val="nil"/>
              <w:right w:val="nil"/>
            </w:tcBorders>
          </w:tcPr>
          <w:p w14:paraId="2E78A585" w14:textId="77777777" w:rsidR="00086EAE" w:rsidRPr="0054344B" w:rsidRDefault="00086EAE" w:rsidP="00086EAE">
            <w:pPr>
              <w:widowControl w:val="0"/>
              <w:autoSpaceDE w:val="0"/>
              <w:autoSpaceDN w:val="0"/>
              <w:adjustRightInd w:val="0"/>
              <w:jc w:val="center"/>
            </w:pPr>
            <w:r w:rsidRPr="0054344B">
              <w:t>(Random Effects)</w:t>
            </w:r>
          </w:p>
        </w:tc>
        <w:tc>
          <w:tcPr>
            <w:tcW w:w="1895" w:type="dxa"/>
            <w:tcBorders>
              <w:top w:val="single" w:sz="4" w:space="0" w:color="auto"/>
              <w:left w:val="nil"/>
              <w:bottom w:val="nil"/>
              <w:right w:val="nil"/>
            </w:tcBorders>
          </w:tcPr>
          <w:p w14:paraId="6572AE10" w14:textId="77777777" w:rsidR="00086EAE" w:rsidRPr="0054344B" w:rsidRDefault="00086EAE" w:rsidP="00086EAE">
            <w:pPr>
              <w:widowControl w:val="0"/>
              <w:autoSpaceDE w:val="0"/>
              <w:autoSpaceDN w:val="0"/>
              <w:adjustRightInd w:val="0"/>
              <w:jc w:val="both"/>
            </w:pPr>
            <w:r w:rsidRPr="0054344B">
              <w:t>(Fixed effects)</w:t>
            </w:r>
          </w:p>
        </w:tc>
      </w:tr>
      <w:tr w:rsidR="00086EAE" w:rsidRPr="0054344B" w14:paraId="1CE27AC7" w14:textId="77777777" w:rsidTr="00086EAE">
        <w:trPr>
          <w:trHeight w:val="315"/>
        </w:trPr>
        <w:tc>
          <w:tcPr>
            <w:tcW w:w="1511" w:type="dxa"/>
            <w:tcBorders>
              <w:top w:val="nil"/>
              <w:left w:val="nil"/>
              <w:bottom w:val="nil"/>
              <w:right w:val="nil"/>
            </w:tcBorders>
          </w:tcPr>
          <w:p w14:paraId="5BBD3D76" w14:textId="77777777" w:rsidR="00086EAE" w:rsidRPr="0054344B" w:rsidRDefault="00086EAE" w:rsidP="00086EAE">
            <w:pPr>
              <w:widowControl w:val="0"/>
              <w:autoSpaceDE w:val="0"/>
              <w:autoSpaceDN w:val="0"/>
              <w:adjustRightInd w:val="0"/>
            </w:pPr>
          </w:p>
        </w:tc>
        <w:tc>
          <w:tcPr>
            <w:tcW w:w="1837" w:type="dxa"/>
            <w:tcBorders>
              <w:top w:val="nil"/>
              <w:left w:val="nil"/>
              <w:bottom w:val="nil"/>
              <w:right w:val="nil"/>
            </w:tcBorders>
          </w:tcPr>
          <w:p w14:paraId="05EBBB73" w14:textId="77777777" w:rsidR="00086EAE" w:rsidRPr="0054344B" w:rsidRDefault="00086EAE" w:rsidP="00086EAE">
            <w:pPr>
              <w:widowControl w:val="0"/>
              <w:autoSpaceDE w:val="0"/>
              <w:autoSpaceDN w:val="0"/>
              <w:adjustRightInd w:val="0"/>
              <w:jc w:val="center"/>
            </w:pPr>
            <w:r w:rsidRPr="0054344B">
              <w:t>Tobin’s Q</w:t>
            </w:r>
          </w:p>
        </w:tc>
        <w:tc>
          <w:tcPr>
            <w:tcW w:w="1895" w:type="dxa"/>
            <w:tcBorders>
              <w:top w:val="nil"/>
              <w:left w:val="nil"/>
              <w:bottom w:val="nil"/>
              <w:right w:val="nil"/>
            </w:tcBorders>
          </w:tcPr>
          <w:p w14:paraId="3F82ED9D" w14:textId="77777777" w:rsidR="00086EAE" w:rsidRPr="0054344B" w:rsidRDefault="00086EAE" w:rsidP="00086EAE">
            <w:pPr>
              <w:widowControl w:val="0"/>
              <w:autoSpaceDE w:val="0"/>
              <w:autoSpaceDN w:val="0"/>
              <w:adjustRightInd w:val="0"/>
              <w:jc w:val="both"/>
            </w:pPr>
            <w:r w:rsidRPr="0054344B">
              <w:t>Tobin’s Q</w:t>
            </w:r>
          </w:p>
        </w:tc>
      </w:tr>
      <w:tr w:rsidR="00086EAE" w:rsidRPr="0054344B" w14:paraId="5F22D1BF" w14:textId="77777777" w:rsidTr="00086EAE">
        <w:trPr>
          <w:trHeight w:val="575"/>
        </w:trPr>
        <w:tc>
          <w:tcPr>
            <w:tcW w:w="1511" w:type="dxa"/>
            <w:tcBorders>
              <w:top w:val="single" w:sz="4" w:space="0" w:color="auto"/>
              <w:left w:val="nil"/>
              <w:bottom w:val="nil"/>
              <w:right w:val="nil"/>
            </w:tcBorders>
          </w:tcPr>
          <w:p w14:paraId="378CD67F" w14:textId="77777777" w:rsidR="00086EAE" w:rsidRPr="0054344B" w:rsidRDefault="00086EAE" w:rsidP="00086EAE">
            <w:pPr>
              <w:widowControl w:val="0"/>
              <w:autoSpaceDE w:val="0"/>
              <w:autoSpaceDN w:val="0"/>
              <w:adjustRightInd w:val="0"/>
            </w:pPr>
          </w:p>
          <w:p w14:paraId="310D9470" w14:textId="77777777" w:rsidR="00086EAE" w:rsidRPr="0054344B" w:rsidRDefault="003673A0" w:rsidP="00086EAE">
            <w:pPr>
              <w:widowControl w:val="0"/>
              <w:autoSpaceDE w:val="0"/>
              <w:autoSpaceDN w:val="0"/>
              <w:adjustRightInd w:val="0"/>
            </w:pPr>
            <w:r w:rsidRPr="0054344B">
              <w:t>AC</w:t>
            </w:r>
          </w:p>
        </w:tc>
        <w:tc>
          <w:tcPr>
            <w:tcW w:w="1837" w:type="dxa"/>
            <w:tcBorders>
              <w:top w:val="single" w:sz="4" w:space="0" w:color="auto"/>
              <w:left w:val="nil"/>
              <w:bottom w:val="nil"/>
              <w:right w:val="nil"/>
            </w:tcBorders>
          </w:tcPr>
          <w:p w14:paraId="71045F68" w14:textId="77777777" w:rsidR="00086EAE" w:rsidRPr="0054344B" w:rsidRDefault="00086EAE" w:rsidP="00086EAE">
            <w:pPr>
              <w:widowControl w:val="0"/>
              <w:autoSpaceDE w:val="0"/>
              <w:autoSpaceDN w:val="0"/>
              <w:adjustRightInd w:val="0"/>
              <w:jc w:val="center"/>
            </w:pPr>
          </w:p>
          <w:p w14:paraId="4FCD0700" w14:textId="77777777" w:rsidR="00086EAE" w:rsidRPr="0054344B" w:rsidRDefault="00086EAE" w:rsidP="00086EAE">
            <w:pPr>
              <w:widowControl w:val="0"/>
              <w:autoSpaceDE w:val="0"/>
              <w:autoSpaceDN w:val="0"/>
              <w:adjustRightInd w:val="0"/>
              <w:jc w:val="center"/>
            </w:pPr>
            <w:r w:rsidRPr="0054344B">
              <w:t>6.425</w:t>
            </w:r>
            <w:r w:rsidRPr="0054344B">
              <w:rPr>
                <w:vertAlign w:val="superscript"/>
              </w:rPr>
              <w:t>***</w:t>
            </w:r>
          </w:p>
        </w:tc>
        <w:tc>
          <w:tcPr>
            <w:tcW w:w="1895" w:type="dxa"/>
            <w:tcBorders>
              <w:top w:val="single" w:sz="4" w:space="0" w:color="auto"/>
              <w:left w:val="nil"/>
              <w:bottom w:val="nil"/>
              <w:right w:val="nil"/>
            </w:tcBorders>
          </w:tcPr>
          <w:p w14:paraId="07926C56" w14:textId="77777777" w:rsidR="00086EAE" w:rsidRPr="0054344B" w:rsidRDefault="00086EAE" w:rsidP="00086EAE">
            <w:pPr>
              <w:widowControl w:val="0"/>
              <w:autoSpaceDE w:val="0"/>
              <w:autoSpaceDN w:val="0"/>
              <w:adjustRightInd w:val="0"/>
              <w:jc w:val="center"/>
            </w:pPr>
          </w:p>
          <w:p w14:paraId="1752D0D9" w14:textId="77777777" w:rsidR="00086EAE" w:rsidRPr="0054344B" w:rsidRDefault="00086EAE" w:rsidP="00086EAE">
            <w:pPr>
              <w:widowControl w:val="0"/>
              <w:autoSpaceDE w:val="0"/>
              <w:autoSpaceDN w:val="0"/>
              <w:adjustRightInd w:val="0"/>
              <w:jc w:val="center"/>
            </w:pPr>
            <w:r w:rsidRPr="0054344B">
              <w:t>6.281</w:t>
            </w:r>
            <w:r w:rsidRPr="0054344B">
              <w:rPr>
                <w:vertAlign w:val="superscript"/>
              </w:rPr>
              <w:t>***</w:t>
            </w:r>
          </w:p>
        </w:tc>
      </w:tr>
      <w:tr w:rsidR="00086EAE" w:rsidRPr="0054344B" w14:paraId="26DBA0D7" w14:textId="77777777" w:rsidTr="00086EAE">
        <w:trPr>
          <w:trHeight w:val="272"/>
        </w:trPr>
        <w:tc>
          <w:tcPr>
            <w:tcW w:w="1511" w:type="dxa"/>
            <w:tcBorders>
              <w:top w:val="nil"/>
              <w:left w:val="nil"/>
              <w:bottom w:val="nil"/>
              <w:right w:val="nil"/>
            </w:tcBorders>
          </w:tcPr>
          <w:p w14:paraId="55D58013" w14:textId="77777777" w:rsidR="00086EAE" w:rsidRPr="0054344B" w:rsidRDefault="00086EAE" w:rsidP="00086EAE">
            <w:pPr>
              <w:widowControl w:val="0"/>
              <w:autoSpaceDE w:val="0"/>
              <w:autoSpaceDN w:val="0"/>
              <w:adjustRightInd w:val="0"/>
            </w:pPr>
          </w:p>
        </w:tc>
        <w:tc>
          <w:tcPr>
            <w:tcW w:w="1837" w:type="dxa"/>
            <w:tcBorders>
              <w:top w:val="nil"/>
              <w:left w:val="nil"/>
              <w:bottom w:val="nil"/>
              <w:right w:val="nil"/>
            </w:tcBorders>
          </w:tcPr>
          <w:p w14:paraId="7A9F441F" w14:textId="77777777" w:rsidR="00086EAE" w:rsidRPr="0054344B" w:rsidRDefault="00086EAE" w:rsidP="00086EAE">
            <w:pPr>
              <w:widowControl w:val="0"/>
              <w:autoSpaceDE w:val="0"/>
              <w:autoSpaceDN w:val="0"/>
              <w:adjustRightInd w:val="0"/>
              <w:jc w:val="center"/>
            </w:pPr>
            <w:r w:rsidRPr="0054344B">
              <w:t>(0.00)</w:t>
            </w:r>
          </w:p>
        </w:tc>
        <w:tc>
          <w:tcPr>
            <w:tcW w:w="1895" w:type="dxa"/>
            <w:tcBorders>
              <w:top w:val="nil"/>
              <w:left w:val="nil"/>
              <w:bottom w:val="nil"/>
              <w:right w:val="nil"/>
            </w:tcBorders>
          </w:tcPr>
          <w:p w14:paraId="4B0556B1" w14:textId="77777777" w:rsidR="00086EAE" w:rsidRPr="0054344B" w:rsidRDefault="00086EAE" w:rsidP="00086EAE">
            <w:pPr>
              <w:widowControl w:val="0"/>
              <w:autoSpaceDE w:val="0"/>
              <w:autoSpaceDN w:val="0"/>
              <w:adjustRightInd w:val="0"/>
              <w:jc w:val="center"/>
            </w:pPr>
            <w:r w:rsidRPr="0054344B">
              <w:t>(0.00)</w:t>
            </w:r>
          </w:p>
        </w:tc>
      </w:tr>
      <w:tr w:rsidR="00086EAE" w:rsidRPr="0054344B" w14:paraId="5B5F2F5F" w14:textId="77777777" w:rsidTr="00086EAE">
        <w:trPr>
          <w:trHeight w:val="272"/>
        </w:trPr>
        <w:tc>
          <w:tcPr>
            <w:tcW w:w="1511" w:type="dxa"/>
            <w:tcBorders>
              <w:top w:val="nil"/>
              <w:left w:val="nil"/>
              <w:bottom w:val="nil"/>
              <w:right w:val="nil"/>
            </w:tcBorders>
          </w:tcPr>
          <w:p w14:paraId="52B61818" w14:textId="77777777" w:rsidR="00086EAE" w:rsidRPr="0054344B" w:rsidRDefault="003673A0" w:rsidP="00086EAE">
            <w:pPr>
              <w:widowControl w:val="0"/>
              <w:autoSpaceDE w:val="0"/>
              <w:autoSpaceDN w:val="0"/>
              <w:adjustRightInd w:val="0"/>
            </w:pPr>
            <w:r w:rsidRPr="0054344B">
              <w:t>GROWTH</w:t>
            </w:r>
          </w:p>
        </w:tc>
        <w:tc>
          <w:tcPr>
            <w:tcW w:w="1837" w:type="dxa"/>
            <w:tcBorders>
              <w:top w:val="nil"/>
              <w:left w:val="nil"/>
              <w:bottom w:val="nil"/>
              <w:right w:val="nil"/>
            </w:tcBorders>
          </w:tcPr>
          <w:p w14:paraId="2EC72F34" w14:textId="77777777" w:rsidR="00086EAE" w:rsidRPr="0054344B" w:rsidRDefault="00086EAE" w:rsidP="00086EAE">
            <w:pPr>
              <w:widowControl w:val="0"/>
              <w:autoSpaceDE w:val="0"/>
              <w:autoSpaceDN w:val="0"/>
              <w:adjustRightInd w:val="0"/>
              <w:jc w:val="center"/>
            </w:pPr>
            <w:r w:rsidRPr="0054344B">
              <w:t>1.526</w:t>
            </w:r>
            <w:r w:rsidRPr="0054344B">
              <w:rPr>
                <w:vertAlign w:val="superscript"/>
              </w:rPr>
              <w:t>**</w:t>
            </w:r>
          </w:p>
        </w:tc>
        <w:tc>
          <w:tcPr>
            <w:tcW w:w="1895" w:type="dxa"/>
            <w:tcBorders>
              <w:top w:val="nil"/>
              <w:left w:val="nil"/>
              <w:bottom w:val="nil"/>
              <w:right w:val="nil"/>
            </w:tcBorders>
          </w:tcPr>
          <w:p w14:paraId="2A6AB99B" w14:textId="77777777" w:rsidR="00086EAE" w:rsidRPr="0054344B" w:rsidRDefault="00086EAE" w:rsidP="00086EAE">
            <w:pPr>
              <w:widowControl w:val="0"/>
              <w:autoSpaceDE w:val="0"/>
              <w:autoSpaceDN w:val="0"/>
              <w:adjustRightInd w:val="0"/>
              <w:jc w:val="center"/>
            </w:pPr>
            <w:r w:rsidRPr="0054344B">
              <w:t>1.678</w:t>
            </w:r>
            <w:r w:rsidRPr="0054344B">
              <w:rPr>
                <w:vertAlign w:val="superscript"/>
              </w:rPr>
              <w:t>**</w:t>
            </w:r>
          </w:p>
        </w:tc>
      </w:tr>
      <w:tr w:rsidR="00086EAE" w:rsidRPr="0054344B" w14:paraId="6F2EC9A8" w14:textId="77777777" w:rsidTr="00086EAE">
        <w:trPr>
          <w:trHeight w:val="272"/>
        </w:trPr>
        <w:tc>
          <w:tcPr>
            <w:tcW w:w="1511" w:type="dxa"/>
            <w:tcBorders>
              <w:top w:val="nil"/>
              <w:left w:val="nil"/>
              <w:bottom w:val="nil"/>
              <w:right w:val="nil"/>
            </w:tcBorders>
          </w:tcPr>
          <w:p w14:paraId="6DA934F6" w14:textId="77777777" w:rsidR="00086EAE" w:rsidRPr="0054344B" w:rsidRDefault="00086EAE" w:rsidP="00086EAE">
            <w:pPr>
              <w:widowControl w:val="0"/>
              <w:autoSpaceDE w:val="0"/>
              <w:autoSpaceDN w:val="0"/>
              <w:adjustRightInd w:val="0"/>
            </w:pPr>
          </w:p>
        </w:tc>
        <w:tc>
          <w:tcPr>
            <w:tcW w:w="1837" w:type="dxa"/>
            <w:tcBorders>
              <w:top w:val="nil"/>
              <w:left w:val="nil"/>
              <w:bottom w:val="nil"/>
              <w:right w:val="nil"/>
            </w:tcBorders>
          </w:tcPr>
          <w:p w14:paraId="0F61BF53" w14:textId="77777777" w:rsidR="00086EAE" w:rsidRPr="0054344B" w:rsidRDefault="00086EAE" w:rsidP="00086EAE">
            <w:pPr>
              <w:widowControl w:val="0"/>
              <w:autoSpaceDE w:val="0"/>
              <w:autoSpaceDN w:val="0"/>
              <w:adjustRightInd w:val="0"/>
              <w:jc w:val="center"/>
            </w:pPr>
            <w:r w:rsidRPr="0054344B">
              <w:t>(0.04)</w:t>
            </w:r>
          </w:p>
        </w:tc>
        <w:tc>
          <w:tcPr>
            <w:tcW w:w="1895" w:type="dxa"/>
            <w:tcBorders>
              <w:top w:val="nil"/>
              <w:left w:val="nil"/>
              <w:bottom w:val="nil"/>
              <w:right w:val="nil"/>
            </w:tcBorders>
          </w:tcPr>
          <w:p w14:paraId="33F593AB" w14:textId="77777777" w:rsidR="00086EAE" w:rsidRPr="0054344B" w:rsidRDefault="00086EAE" w:rsidP="00086EAE">
            <w:pPr>
              <w:widowControl w:val="0"/>
              <w:autoSpaceDE w:val="0"/>
              <w:autoSpaceDN w:val="0"/>
              <w:adjustRightInd w:val="0"/>
              <w:jc w:val="center"/>
            </w:pPr>
            <w:r w:rsidRPr="0054344B">
              <w:t>(0.03)</w:t>
            </w:r>
          </w:p>
        </w:tc>
      </w:tr>
      <w:tr w:rsidR="00086EAE" w:rsidRPr="0054344B" w14:paraId="4CC0979D" w14:textId="77777777" w:rsidTr="00086EAE">
        <w:trPr>
          <w:trHeight w:val="252"/>
        </w:trPr>
        <w:tc>
          <w:tcPr>
            <w:tcW w:w="1511" w:type="dxa"/>
            <w:tcBorders>
              <w:top w:val="nil"/>
              <w:left w:val="nil"/>
              <w:bottom w:val="nil"/>
              <w:right w:val="nil"/>
            </w:tcBorders>
          </w:tcPr>
          <w:p w14:paraId="70FB1742" w14:textId="77777777" w:rsidR="00086EAE" w:rsidRPr="0054344B" w:rsidRDefault="00086EAE" w:rsidP="00086EAE">
            <w:pPr>
              <w:widowControl w:val="0"/>
              <w:autoSpaceDE w:val="0"/>
              <w:autoSpaceDN w:val="0"/>
              <w:adjustRightInd w:val="0"/>
            </w:pPr>
            <w:r w:rsidRPr="0054344B">
              <w:t>LEV</w:t>
            </w:r>
          </w:p>
        </w:tc>
        <w:tc>
          <w:tcPr>
            <w:tcW w:w="1837" w:type="dxa"/>
            <w:tcBorders>
              <w:top w:val="nil"/>
              <w:left w:val="nil"/>
              <w:bottom w:val="nil"/>
              <w:right w:val="nil"/>
            </w:tcBorders>
          </w:tcPr>
          <w:p w14:paraId="6BB82819" w14:textId="77777777" w:rsidR="00086EAE" w:rsidRPr="0054344B" w:rsidRDefault="00086EAE" w:rsidP="00086EAE">
            <w:pPr>
              <w:widowControl w:val="0"/>
              <w:autoSpaceDE w:val="0"/>
              <w:autoSpaceDN w:val="0"/>
              <w:adjustRightInd w:val="0"/>
              <w:jc w:val="center"/>
            </w:pPr>
            <w:r w:rsidRPr="0054344B">
              <w:t>-0.039</w:t>
            </w:r>
          </w:p>
        </w:tc>
        <w:tc>
          <w:tcPr>
            <w:tcW w:w="1895" w:type="dxa"/>
            <w:tcBorders>
              <w:top w:val="nil"/>
              <w:left w:val="nil"/>
              <w:bottom w:val="nil"/>
              <w:right w:val="nil"/>
            </w:tcBorders>
          </w:tcPr>
          <w:p w14:paraId="12E7414B" w14:textId="77777777" w:rsidR="00086EAE" w:rsidRPr="0054344B" w:rsidRDefault="00086EAE" w:rsidP="00086EAE">
            <w:pPr>
              <w:widowControl w:val="0"/>
              <w:autoSpaceDE w:val="0"/>
              <w:autoSpaceDN w:val="0"/>
              <w:adjustRightInd w:val="0"/>
              <w:jc w:val="center"/>
            </w:pPr>
            <w:r w:rsidRPr="0054344B">
              <w:t>-0.031</w:t>
            </w:r>
          </w:p>
        </w:tc>
      </w:tr>
      <w:tr w:rsidR="00086EAE" w:rsidRPr="0054344B" w14:paraId="191C7E71" w14:textId="77777777" w:rsidTr="00086EAE">
        <w:trPr>
          <w:trHeight w:val="272"/>
        </w:trPr>
        <w:tc>
          <w:tcPr>
            <w:tcW w:w="1511" w:type="dxa"/>
            <w:tcBorders>
              <w:top w:val="nil"/>
              <w:left w:val="nil"/>
              <w:bottom w:val="nil"/>
              <w:right w:val="nil"/>
            </w:tcBorders>
          </w:tcPr>
          <w:p w14:paraId="138532D0" w14:textId="77777777" w:rsidR="00086EAE" w:rsidRPr="0054344B" w:rsidRDefault="00086EAE" w:rsidP="00086EAE">
            <w:pPr>
              <w:widowControl w:val="0"/>
              <w:autoSpaceDE w:val="0"/>
              <w:autoSpaceDN w:val="0"/>
              <w:adjustRightInd w:val="0"/>
            </w:pPr>
          </w:p>
        </w:tc>
        <w:tc>
          <w:tcPr>
            <w:tcW w:w="1837" w:type="dxa"/>
            <w:tcBorders>
              <w:top w:val="nil"/>
              <w:left w:val="nil"/>
              <w:bottom w:val="nil"/>
              <w:right w:val="nil"/>
            </w:tcBorders>
          </w:tcPr>
          <w:p w14:paraId="77FB01B1" w14:textId="77777777" w:rsidR="00086EAE" w:rsidRPr="0054344B" w:rsidRDefault="00086EAE" w:rsidP="00086EAE">
            <w:pPr>
              <w:widowControl w:val="0"/>
              <w:autoSpaceDE w:val="0"/>
              <w:autoSpaceDN w:val="0"/>
              <w:adjustRightInd w:val="0"/>
              <w:jc w:val="center"/>
            </w:pPr>
            <w:r w:rsidRPr="0054344B">
              <w:t>(0.88)</w:t>
            </w:r>
          </w:p>
        </w:tc>
        <w:tc>
          <w:tcPr>
            <w:tcW w:w="1895" w:type="dxa"/>
            <w:tcBorders>
              <w:top w:val="nil"/>
              <w:left w:val="nil"/>
              <w:bottom w:val="nil"/>
              <w:right w:val="nil"/>
            </w:tcBorders>
          </w:tcPr>
          <w:p w14:paraId="737CE2FA" w14:textId="77777777" w:rsidR="00086EAE" w:rsidRPr="0054344B" w:rsidRDefault="00086EAE" w:rsidP="00086EAE">
            <w:pPr>
              <w:widowControl w:val="0"/>
              <w:autoSpaceDE w:val="0"/>
              <w:autoSpaceDN w:val="0"/>
              <w:adjustRightInd w:val="0"/>
              <w:jc w:val="center"/>
            </w:pPr>
            <w:r w:rsidRPr="0054344B">
              <w:t>(0.90)</w:t>
            </w:r>
          </w:p>
        </w:tc>
      </w:tr>
      <w:tr w:rsidR="00086EAE" w:rsidRPr="0054344B" w14:paraId="6A418B07" w14:textId="77777777" w:rsidTr="00086EAE">
        <w:trPr>
          <w:trHeight w:val="272"/>
        </w:trPr>
        <w:tc>
          <w:tcPr>
            <w:tcW w:w="1511" w:type="dxa"/>
            <w:tcBorders>
              <w:top w:val="nil"/>
              <w:left w:val="nil"/>
              <w:bottom w:val="nil"/>
              <w:right w:val="nil"/>
            </w:tcBorders>
          </w:tcPr>
          <w:p w14:paraId="752B84FF" w14:textId="77777777" w:rsidR="00086EAE" w:rsidRPr="0054344B" w:rsidRDefault="00086EAE" w:rsidP="00086EAE">
            <w:pPr>
              <w:widowControl w:val="0"/>
              <w:autoSpaceDE w:val="0"/>
              <w:autoSpaceDN w:val="0"/>
              <w:adjustRightInd w:val="0"/>
            </w:pPr>
            <w:r w:rsidRPr="0054344B">
              <w:t>FSIZE</w:t>
            </w:r>
          </w:p>
        </w:tc>
        <w:tc>
          <w:tcPr>
            <w:tcW w:w="1837" w:type="dxa"/>
            <w:tcBorders>
              <w:top w:val="nil"/>
              <w:left w:val="nil"/>
              <w:bottom w:val="nil"/>
              <w:right w:val="nil"/>
            </w:tcBorders>
          </w:tcPr>
          <w:p w14:paraId="219A2393" w14:textId="77777777" w:rsidR="00086EAE" w:rsidRPr="0054344B" w:rsidRDefault="00086EAE" w:rsidP="00086EAE">
            <w:pPr>
              <w:widowControl w:val="0"/>
              <w:autoSpaceDE w:val="0"/>
              <w:autoSpaceDN w:val="0"/>
              <w:adjustRightInd w:val="0"/>
              <w:jc w:val="center"/>
            </w:pPr>
            <w:r w:rsidRPr="0054344B">
              <w:t>0.047</w:t>
            </w:r>
          </w:p>
        </w:tc>
        <w:tc>
          <w:tcPr>
            <w:tcW w:w="1895" w:type="dxa"/>
            <w:tcBorders>
              <w:top w:val="nil"/>
              <w:left w:val="nil"/>
              <w:bottom w:val="nil"/>
              <w:right w:val="nil"/>
            </w:tcBorders>
          </w:tcPr>
          <w:p w14:paraId="31537879" w14:textId="77777777" w:rsidR="00086EAE" w:rsidRPr="0054344B" w:rsidRDefault="00086EAE" w:rsidP="00086EAE">
            <w:pPr>
              <w:widowControl w:val="0"/>
              <w:autoSpaceDE w:val="0"/>
              <w:autoSpaceDN w:val="0"/>
              <w:adjustRightInd w:val="0"/>
              <w:jc w:val="center"/>
            </w:pPr>
            <w:r w:rsidRPr="0054344B">
              <w:t>0.115</w:t>
            </w:r>
          </w:p>
        </w:tc>
      </w:tr>
      <w:tr w:rsidR="00086EAE" w:rsidRPr="0054344B" w14:paraId="3A529E13" w14:textId="77777777" w:rsidTr="00086EAE">
        <w:trPr>
          <w:trHeight w:val="306"/>
        </w:trPr>
        <w:tc>
          <w:tcPr>
            <w:tcW w:w="1511" w:type="dxa"/>
            <w:tcBorders>
              <w:top w:val="nil"/>
              <w:left w:val="nil"/>
              <w:bottom w:val="nil"/>
              <w:right w:val="nil"/>
            </w:tcBorders>
          </w:tcPr>
          <w:p w14:paraId="6F7F79E9" w14:textId="77777777" w:rsidR="00086EAE" w:rsidRPr="0054344B" w:rsidRDefault="00086EAE" w:rsidP="00086EAE">
            <w:pPr>
              <w:widowControl w:val="0"/>
              <w:autoSpaceDE w:val="0"/>
              <w:autoSpaceDN w:val="0"/>
              <w:adjustRightInd w:val="0"/>
            </w:pPr>
          </w:p>
        </w:tc>
        <w:tc>
          <w:tcPr>
            <w:tcW w:w="1837" w:type="dxa"/>
            <w:tcBorders>
              <w:top w:val="nil"/>
              <w:left w:val="nil"/>
              <w:bottom w:val="nil"/>
              <w:right w:val="nil"/>
            </w:tcBorders>
          </w:tcPr>
          <w:p w14:paraId="0874CED8" w14:textId="77777777" w:rsidR="00086EAE" w:rsidRPr="0054344B" w:rsidRDefault="00086EAE" w:rsidP="00086EAE">
            <w:pPr>
              <w:widowControl w:val="0"/>
              <w:autoSpaceDE w:val="0"/>
              <w:autoSpaceDN w:val="0"/>
              <w:adjustRightInd w:val="0"/>
              <w:jc w:val="center"/>
            </w:pPr>
            <w:r w:rsidRPr="0054344B">
              <w:t>(0.76)</w:t>
            </w:r>
          </w:p>
        </w:tc>
        <w:tc>
          <w:tcPr>
            <w:tcW w:w="1895" w:type="dxa"/>
            <w:tcBorders>
              <w:top w:val="nil"/>
              <w:left w:val="nil"/>
              <w:bottom w:val="nil"/>
              <w:right w:val="nil"/>
            </w:tcBorders>
          </w:tcPr>
          <w:p w14:paraId="042FD6DD" w14:textId="77777777" w:rsidR="00086EAE" w:rsidRPr="0054344B" w:rsidRDefault="00086EAE" w:rsidP="00086EAE">
            <w:pPr>
              <w:widowControl w:val="0"/>
              <w:autoSpaceDE w:val="0"/>
              <w:autoSpaceDN w:val="0"/>
              <w:adjustRightInd w:val="0"/>
              <w:jc w:val="center"/>
            </w:pPr>
            <w:r w:rsidRPr="0054344B">
              <w:t>(0.51)</w:t>
            </w:r>
          </w:p>
        </w:tc>
      </w:tr>
      <w:tr w:rsidR="00086EAE" w:rsidRPr="0054344B" w14:paraId="0973D174" w14:textId="77777777" w:rsidTr="00086EAE">
        <w:trPr>
          <w:trHeight w:val="272"/>
        </w:trPr>
        <w:tc>
          <w:tcPr>
            <w:tcW w:w="1511" w:type="dxa"/>
            <w:tcBorders>
              <w:top w:val="nil"/>
              <w:left w:val="nil"/>
              <w:bottom w:val="nil"/>
              <w:right w:val="nil"/>
            </w:tcBorders>
          </w:tcPr>
          <w:p w14:paraId="0E8704D0" w14:textId="77777777" w:rsidR="00086EAE" w:rsidRPr="0054344B" w:rsidRDefault="00086EAE" w:rsidP="00086EAE">
            <w:pPr>
              <w:widowControl w:val="0"/>
              <w:autoSpaceDE w:val="0"/>
              <w:autoSpaceDN w:val="0"/>
              <w:adjustRightInd w:val="0"/>
            </w:pPr>
            <w:r w:rsidRPr="0054344B">
              <w:t>BIG4</w:t>
            </w:r>
          </w:p>
        </w:tc>
        <w:tc>
          <w:tcPr>
            <w:tcW w:w="1837" w:type="dxa"/>
            <w:tcBorders>
              <w:top w:val="nil"/>
              <w:left w:val="nil"/>
              <w:bottom w:val="nil"/>
              <w:right w:val="nil"/>
            </w:tcBorders>
          </w:tcPr>
          <w:p w14:paraId="6CD06518" w14:textId="77777777" w:rsidR="00086EAE" w:rsidRPr="0054344B" w:rsidRDefault="00086EAE" w:rsidP="00086EAE">
            <w:pPr>
              <w:widowControl w:val="0"/>
              <w:autoSpaceDE w:val="0"/>
              <w:autoSpaceDN w:val="0"/>
              <w:adjustRightInd w:val="0"/>
              <w:jc w:val="center"/>
            </w:pPr>
            <w:r w:rsidRPr="0054344B">
              <w:t>-3.379</w:t>
            </w:r>
          </w:p>
        </w:tc>
        <w:tc>
          <w:tcPr>
            <w:tcW w:w="1895" w:type="dxa"/>
            <w:tcBorders>
              <w:top w:val="nil"/>
              <w:left w:val="nil"/>
              <w:bottom w:val="nil"/>
              <w:right w:val="nil"/>
            </w:tcBorders>
          </w:tcPr>
          <w:p w14:paraId="11C33924" w14:textId="77777777" w:rsidR="00086EAE" w:rsidRPr="0054344B" w:rsidRDefault="00086EAE" w:rsidP="00086EAE">
            <w:pPr>
              <w:widowControl w:val="0"/>
              <w:autoSpaceDE w:val="0"/>
              <w:autoSpaceDN w:val="0"/>
              <w:adjustRightInd w:val="0"/>
              <w:jc w:val="center"/>
            </w:pPr>
          </w:p>
        </w:tc>
      </w:tr>
      <w:tr w:rsidR="00086EAE" w:rsidRPr="0054344B" w14:paraId="10FF00D2" w14:textId="77777777" w:rsidTr="00086EAE">
        <w:trPr>
          <w:trHeight w:val="252"/>
        </w:trPr>
        <w:tc>
          <w:tcPr>
            <w:tcW w:w="1511" w:type="dxa"/>
            <w:tcBorders>
              <w:top w:val="nil"/>
              <w:left w:val="nil"/>
              <w:bottom w:val="nil"/>
              <w:right w:val="nil"/>
            </w:tcBorders>
          </w:tcPr>
          <w:p w14:paraId="3B370B89" w14:textId="77777777" w:rsidR="00086EAE" w:rsidRPr="0054344B" w:rsidRDefault="00086EAE" w:rsidP="00086EAE">
            <w:pPr>
              <w:widowControl w:val="0"/>
              <w:autoSpaceDE w:val="0"/>
              <w:autoSpaceDN w:val="0"/>
              <w:adjustRightInd w:val="0"/>
            </w:pPr>
          </w:p>
        </w:tc>
        <w:tc>
          <w:tcPr>
            <w:tcW w:w="1837" w:type="dxa"/>
            <w:tcBorders>
              <w:top w:val="nil"/>
              <w:left w:val="nil"/>
              <w:bottom w:val="nil"/>
              <w:right w:val="nil"/>
            </w:tcBorders>
          </w:tcPr>
          <w:p w14:paraId="49C249AE" w14:textId="77777777" w:rsidR="00086EAE" w:rsidRPr="0054344B" w:rsidRDefault="00086EAE" w:rsidP="00086EAE">
            <w:pPr>
              <w:widowControl w:val="0"/>
              <w:autoSpaceDE w:val="0"/>
              <w:autoSpaceDN w:val="0"/>
              <w:adjustRightInd w:val="0"/>
              <w:jc w:val="center"/>
            </w:pPr>
            <w:r w:rsidRPr="0054344B">
              <w:t>(0.47)</w:t>
            </w:r>
          </w:p>
        </w:tc>
        <w:tc>
          <w:tcPr>
            <w:tcW w:w="1895" w:type="dxa"/>
            <w:tcBorders>
              <w:top w:val="nil"/>
              <w:left w:val="nil"/>
              <w:bottom w:val="nil"/>
              <w:right w:val="nil"/>
            </w:tcBorders>
          </w:tcPr>
          <w:p w14:paraId="3D9179EB" w14:textId="77777777" w:rsidR="00086EAE" w:rsidRPr="0054344B" w:rsidRDefault="00086EAE" w:rsidP="00086EAE">
            <w:pPr>
              <w:widowControl w:val="0"/>
              <w:autoSpaceDE w:val="0"/>
              <w:autoSpaceDN w:val="0"/>
              <w:adjustRightInd w:val="0"/>
              <w:jc w:val="center"/>
            </w:pPr>
          </w:p>
        </w:tc>
      </w:tr>
      <w:tr w:rsidR="00086EAE" w:rsidRPr="0054344B" w14:paraId="308B8838" w14:textId="77777777" w:rsidTr="00086EAE">
        <w:trPr>
          <w:trHeight w:val="272"/>
        </w:trPr>
        <w:tc>
          <w:tcPr>
            <w:tcW w:w="1511" w:type="dxa"/>
            <w:tcBorders>
              <w:top w:val="nil"/>
              <w:left w:val="nil"/>
              <w:bottom w:val="nil"/>
              <w:right w:val="nil"/>
            </w:tcBorders>
          </w:tcPr>
          <w:p w14:paraId="21CF209A" w14:textId="77777777" w:rsidR="00086EAE" w:rsidRPr="0054344B" w:rsidRDefault="00086EAE" w:rsidP="00086EAE">
            <w:pPr>
              <w:widowControl w:val="0"/>
              <w:autoSpaceDE w:val="0"/>
              <w:autoSpaceDN w:val="0"/>
              <w:adjustRightInd w:val="0"/>
            </w:pPr>
            <w:r w:rsidRPr="0054344B">
              <w:t>DUAL</w:t>
            </w:r>
          </w:p>
        </w:tc>
        <w:tc>
          <w:tcPr>
            <w:tcW w:w="1837" w:type="dxa"/>
            <w:tcBorders>
              <w:top w:val="nil"/>
              <w:left w:val="nil"/>
              <w:bottom w:val="nil"/>
              <w:right w:val="nil"/>
            </w:tcBorders>
          </w:tcPr>
          <w:p w14:paraId="22228326" w14:textId="77777777" w:rsidR="00086EAE" w:rsidRPr="0054344B" w:rsidRDefault="00086EAE" w:rsidP="00086EAE">
            <w:pPr>
              <w:widowControl w:val="0"/>
              <w:autoSpaceDE w:val="0"/>
              <w:autoSpaceDN w:val="0"/>
              <w:adjustRightInd w:val="0"/>
              <w:jc w:val="center"/>
            </w:pPr>
            <w:r w:rsidRPr="0054344B">
              <w:t>4.528</w:t>
            </w:r>
            <w:r w:rsidRPr="0054344B">
              <w:rPr>
                <w:vertAlign w:val="superscript"/>
              </w:rPr>
              <w:t>*</w:t>
            </w:r>
          </w:p>
        </w:tc>
        <w:tc>
          <w:tcPr>
            <w:tcW w:w="1895" w:type="dxa"/>
            <w:tcBorders>
              <w:top w:val="nil"/>
              <w:left w:val="nil"/>
              <w:bottom w:val="nil"/>
              <w:right w:val="nil"/>
            </w:tcBorders>
          </w:tcPr>
          <w:p w14:paraId="210DFC0F" w14:textId="77777777" w:rsidR="00086EAE" w:rsidRPr="0054344B" w:rsidRDefault="00086EAE" w:rsidP="00086EAE">
            <w:pPr>
              <w:widowControl w:val="0"/>
              <w:autoSpaceDE w:val="0"/>
              <w:autoSpaceDN w:val="0"/>
              <w:adjustRightInd w:val="0"/>
              <w:jc w:val="center"/>
            </w:pPr>
          </w:p>
        </w:tc>
      </w:tr>
      <w:tr w:rsidR="00086EAE" w:rsidRPr="0054344B" w14:paraId="24537AD0" w14:textId="77777777" w:rsidTr="00086EAE">
        <w:trPr>
          <w:trHeight w:val="272"/>
        </w:trPr>
        <w:tc>
          <w:tcPr>
            <w:tcW w:w="1511" w:type="dxa"/>
            <w:tcBorders>
              <w:top w:val="nil"/>
              <w:left w:val="nil"/>
              <w:bottom w:val="nil"/>
              <w:right w:val="nil"/>
            </w:tcBorders>
          </w:tcPr>
          <w:p w14:paraId="73F58BBB" w14:textId="77777777" w:rsidR="00086EAE" w:rsidRPr="0054344B" w:rsidRDefault="00086EAE" w:rsidP="00086EAE">
            <w:pPr>
              <w:widowControl w:val="0"/>
              <w:autoSpaceDE w:val="0"/>
              <w:autoSpaceDN w:val="0"/>
              <w:adjustRightInd w:val="0"/>
            </w:pPr>
          </w:p>
        </w:tc>
        <w:tc>
          <w:tcPr>
            <w:tcW w:w="1837" w:type="dxa"/>
            <w:tcBorders>
              <w:top w:val="nil"/>
              <w:left w:val="nil"/>
              <w:bottom w:val="nil"/>
              <w:right w:val="nil"/>
            </w:tcBorders>
          </w:tcPr>
          <w:p w14:paraId="2DFE7866" w14:textId="77777777" w:rsidR="00086EAE" w:rsidRPr="0054344B" w:rsidRDefault="00086EAE" w:rsidP="00086EAE">
            <w:pPr>
              <w:widowControl w:val="0"/>
              <w:autoSpaceDE w:val="0"/>
              <w:autoSpaceDN w:val="0"/>
              <w:adjustRightInd w:val="0"/>
              <w:jc w:val="center"/>
            </w:pPr>
            <w:r w:rsidRPr="0054344B">
              <w:t>(0.10)</w:t>
            </w:r>
          </w:p>
        </w:tc>
        <w:tc>
          <w:tcPr>
            <w:tcW w:w="1895" w:type="dxa"/>
            <w:tcBorders>
              <w:top w:val="nil"/>
              <w:left w:val="nil"/>
              <w:bottom w:val="nil"/>
              <w:right w:val="nil"/>
            </w:tcBorders>
          </w:tcPr>
          <w:p w14:paraId="165DB773" w14:textId="77777777" w:rsidR="00086EAE" w:rsidRPr="0054344B" w:rsidRDefault="00086EAE" w:rsidP="00086EAE">
            <w:pPr>
              <w:widowControl w:val="0"/>
              <w:autoSpaceDE w:val="0"/>
              <w:autoSpaceDN w:val="0"/>
              <w:adjustRightInd w:val="0"/>
              <w:jc w:val="center"/>
            </w:pPr>
          </w:p>
        </w:tc>
      </w:tr>
      <w:tr w:rsidR="00086EAE" w:rsidRPr="0054344B" w14:paraId="11A82151" w14:textId="77777777" w:rsidTr="00086EAE">
        <w:trPr>
          <w:trHeight w:val="306"/>
        </w:trPr>
        <w:tc>
          <w:tcPr>
            <w:tcW w:w="1511" w:type="dxa"/>
            <w:tcBorders>
              <w:top w:val="nil"/>
              <w:left w:val="nil"/>
              <w:bottom w:val="nil"/>
              <w:right w:val="nil"/>
            </w:tcBorders>
          </w:tcPr>
          <w:p w14:paraId="319B54B5" w14:textId="77777777" w:rsidR="00086EAE" w:rsidRPr="0054344B" w:rsidRDefault="00086EAE" w:rsidP="00086EAE">
            <w:pPr>
              <w:widowControl w:val="0"/>
              <w:autoSpaceDE w:val="0"/>
              <w:autoSpaceDN w:val="0"/>
              <w:adjustRightInd w:val="0"/>
            </w:pPr>
            <w:r w:rsidRPr="0054344B">
              <w:t>Insurance-2</w:t>
            </w:r>
          </w:p>
        </w:tc>
        <w:tc>
          <w:tcPr>
            <w:tcW w:w="1837" w:type="dxa"/>
            <w:tcBorders>
              <w:top w:val="nil"/>
              <w:left w:val="nil"/>
              <w:bottom w:val="nil"/>
              <w:right w:val="nil"/>
            </w:tcBorders>
          </w:tcPr>
          <w:p w14:paraId="2F0D60BF" w14:textId="77777777" w:rsidR="00086EAE" w:rsidRPr="0054344B" w:rsidRDefault="00086EAE" w:rsidP="00086EAE">
            <w:pPr>
              <w:widowControl w:val="0"/>
              <w:autoSpaceDE w:val="0"/>
              <w:autoSpaceDN w:val="0"/>
              <w:adjustRightInd w:val="0"/>
              <w:jc w:val="center"/>
            </w:pPr>
            <w:r w:rsidRPr="0054344B">
              <w:t>0.165</w:t>
            </w:r>
          </w:p>
        </w:tc>
        <w:tc>
          <w:tcPr>
            <w:tcW w:w="1895" w:type="dxa"/>
            <w:tcBorders>
              <w:top w:val="nil"/>
              <w:left w:val="nil"/>
              <w:bottom w:val="nil"/>
              <w:right w:val="nil"/>
            </w:tcBorders>
          </w:tcPr>
          <w:p w14:paraId="2F4553AF" w14:textId="77777777" w:rsidR="00086EAE" w:rsidRPr="0054344B" w:rsidRDefault="00086EAE" w:rsidP="00086EAE">
            <w:pPr>
              <w:widowControl w:val="0"/>
              <w:autoSpaceDE w:val="0"/>
              <w:autoSpaceDN w:val="0"/>
              <w:adjustRightInd w:val="0"/>
              <w:jc w:val="center"/>
            </w:pPr>
          </w:p>
        </w:tc>
      </w:tr>
      <w:tr w:rsidR="00086EAE" w:rsidRPr="0054344B" w14:paraId="7FF8905C" w14:textId="77777777" w:rsidTr="00086EAE">
        <w:trPr>
          <w:trHeight w:val="272"/>
        </w:trPr>
        <w:tc>
          <w:tcPr>
            <w:tcW w:w="1511" w:type="dxa"/>
            <w:tcBorders>
              <w:top w:val="nil"/>
              <w:left w:val="nil"/>
              <w:bottom w:val="nil"/>
              <w:right w:val="nil"/>
            </w:tcBorders>
          </w:tcPr>
          <w:p w14:paraId="7A12D180" w14:textId="77777777" w:rsidR="00086EAE" w:rsidRPr="0054344B" w:rsidRDefault="00086EAE" w:rsidP="00086EAE">
            <w:pPr>
              <w:widowControl w:val="0"/>
              <w:autoSpaceDE w:val="0"/>
              <w:autoSpaceDN w:val="0"/>
              <w:adjustRightInd w:val="0"/>
            </w:pPr>
          </w:p>
        </w:tc>
        <w:tc>
          <w:tcPr>
            <w:tcW w:w="1837" w:type="dxa"/>
            <w:tcBorders>
              <w:top w:val="nil"/>
              <w:left w:val="nil"/>
              <w:bottom w:val="nil"/>
              <w:right w:val="nil"/>
            </w:tcBorders>
          </w:tcPr>
          <w:p w14:paraId="3EFC1ABB" w14:textId="77777777" w:rsidR="00086EAE" w:rsidRPr="0054344B" w:rsidRDefault="00086EAE" w:rsidP="00086EAE">
            <w:pPr>
              <w:widowControl w:val="0"/>
              <w:autoSpaceDE w:val="0"/>
              <w:autoSpaceDN w:val="0"/>
              <w:adjustRightInd w:val="0"/>
              <w:jc w:val="center"/>
            </w:pPr>
            <w:r w:rsidRPr="0054344B">
              <w:t>(0.97)</w:t>
            </w:r>
          </w:p>
        </w:tc>
        <w:tc>
          <w:tcPr>
            <w:tcW w:w="1895" w:type="dxa"/>
            <w:tcBorders>
              <w:top w:val="nil"/>
              <w:left w:val="nil"/>
              <w:bottom w:val="nil"/>
              <w:right w:val="nil"/>
            </w:tcBorders>
          </w:tcPr>
          <w:p w14:paraId="689A3BE4" w14:textId="77777777" w:rsidR="00086EAE" w:rsidRPr="0054344B" w:rsidRDefault="00086EAE" w:rsidP="00086EAE">
            <w:pPr>
              <w:widowControl w:val="0"/>
              <w:autoSpaceDE w:val="0"/>
              <w:autoSpaceDN w:val="0"/>
              <w:adjustRightInd w:val="0"/>
              <w:jc w:val="center"/>
            </w:pPr>
          </w:p>
        </w:tc>
      </w:tr>
      <w:tr w:rsidR="00086EAE" w:rsidRPr="0054344B" w14:paraId="3C800A64" w14:textId="77777777" w:rsidTr="00086EAE">
        <w:trPr>
          <w:trHeight w:val="252"/>
        </w:trPr>
        <w:tc>
          <w:tcPr>
            <w:tcW w:w="1511" w:type="dxa"/>
            <w:tcBorders>
              <w:top w:val="nil"/>
              <w:left w:val="nil"/>
              <w:bottom w:val="nil"/>
              <w:right w:val="nil"/>
            </w:tcBorders>
          </w:tcPr>
          <w:p w14:paraId="7DC72742" w14:textId="77777777" w:rsidR="00086EAE" w:rsidRPr="0054344B" w:rsidRDefault="00086EAE" w:rsidP="00086EAE">
            <w:pPr>
              <w:widowControl w:val="0"/>
              <w:autoSpaceDE w:val="0"/>
              <w:autoSpaceDN w:val="0"/>
              <w:adjustRightInd w:val="0"/>
            </w:pPr>
            <w:r w:rsidRPr="0054344B">
              <w:t>Mortgages-3</w:t>
            </w:r>
          </w:p>
        </w:tc>
        <w:tc>
          <w:tcPr>
            <w:tcW w:w="1837" w:type="dxa"/>
            <w:tcBorders>
              <w:top w:val="nil"/>
              <w:left w:val="nil"/>
              <w:bottom w:val="nil"/>
              <w:right w:val="nil"/>
            </w:tcBorders>
          </w:tcPr>
          <w:p w14:paraId="5C3A0955" w14:textId="77777777" w:rsidR="00086EAE" w:rsidRPr="0054344B" w:rsidRDefault="00086EAE" w:rsidP="00086EAE">
            <w:pPr>
              <w:widowControl w:val="0"/>
              <w:autoSpaceDE w:val="0"/>
              <w:autoSpaceDN w:val="0"/>
              <w:adjustRightInd w:val="0"/>
              <w:jc w:val="center"/>
            </w:pPr>
            <w:r w:rsidRPr="0054344B">
              <w:t>6.595</w:t>
            </w:r>
          </w:p>
        </w:tc>
        <w:tc>
          <w:tcPr>
            <w:tcW w:w="1895" w:type="dxa"/>
            <w:tcBorders>
              <w:top w:val="nil"/>
              <w:left w:val="nil"/>
              <w:bottom w:val="nil"/>
              <w:right w:val="nil"/>
            </w:tcBorders>
          </w:tcPr>
          <w:p w14:paraId="3984F38C" w14:textId="77777777" w:rsidR="00086EAE" w:rsidRPr="0054344B" w:rsidRDefault="00086EAE" w:rsidP="00086EAE">
            <w:pPr>
              <w:widowControl w:val="0"/>
              <w:autoSpaceDE w:val="0"/>
              <w:autoSpaceDN w:val="0"/>
              <w:adjustRightInd w:val="0"/>
              <w:jc w:val="center"/>
            </w:pPr>
          </w:p>
        </w:tc>
      </w:tr>
      <w:tr w:rsidR="00086EAE" w:rsidRPr="0054344B" w14:paraId="2CCD9A99" w14:textId="77777777" w:rsidTr="00086EAE">
        <w:trPr>
          <w:trHeight w:val="272"/>
        </w:trPr>
        <w:tc>
          <w:tcPr>
            <w:tcW w:w="1511" w:type="dxa"/>
            <w:tcBorders>
              <w:top w:val="nil"/>
              <w:left w:val="nil"/>
              <w:bottom w:val="nil"/>
              <w:right w:val="nil"/>
            </w:tcBorders>
          </w:tcPr>
          <w:p w14:paraId="171B7194" w14:textId="77777777" w:rsidR="00086EAE" w:rsidRPr="0054344B" w:rsidRDefault="00086EAE" w:rsidP="00086EAE">
            <w:pPr>
              <w:widowControl w:val="0"/>
              <w:autoSpaceDE w:val="0"/>
              <w:autoSpaceDN w:val="0"/>
              <w:adjustRightInd w:val="0"/>
            </w:pPr>
          </w:p>
        </w:tc>
        <w:tc>
          <w:tcPr>
            <w:tcW w:w="1837" w:type="dxa"/>
            <w:tcBorders>
              <w:top w:val="nil"/>
              <w:left w:val="nil"/>
              <w:bottom w:val="nil"/>
              <w:right w:val="nil"/>
            </w:tcBorders>
          </w:tcPr>
          <w:p w14:paraId="12E0E6AD" w14:textId="77777777" w:rsidR="00086EAE" w:rsidRPr="0054344B" w:rsidRDefault="00086EAE" w:rsidP="00086EAE">
            <w:pPr>
              <w:widowControl w:val="0"/>
              <w:autoSpaceDE w:val="0"/>
              <w:autoSpaceDN w:val="0"/>
              <w:adjustRightInd w:val="0"/>
              <w:jc w:val="center"/>
            </w:pPr>
            <w:r w:rsidRPr="0054344B">
              <w:t>(0.12)</w:t>
            </w:r>
          </w:p>
        </w:tc>
        <w:tc>
          <w:tcPr>
            <w:tcW w:w="1895" w:type="dxa"/>
            <w:tcBorders>
              <w:top w:val="nil"/>
              <w:left w:val="nil"/>
              <w:bottom w:val="nil"/>
              <w:right w:val="nil"/>
            </w:tcBorders>
          </w:tcPr>
          <w:p w14:paraId="58FE3F42" w14:textId="77777777" w:rsidR="00086EAE" w:rsidRPr="0054344B" w:rsidRDefault="00086EAE" w:rsidP="00086EAE">
            <w:pPr>
              <w:widowControl w:val="0"/>
              <w:autoSpaceDE w:val="0"/>
              <w:autoSpaceDN w:val="0"/>
              <w:adjustRightInd w:val="0"/>
              <w:jc w:val="center"/>
            </w:pPr>
          </w:p>
        </w:tc>
      </w:tr>
      <w:tr w:rsidR="00086EAE" w:rsidRPr="0054344B" w14:paraId="6462DCB3" w14:textId="77777777" w:rsidTr="00086EAE">
        <w:trPr>
          <w:trHeight w:val="272"/>
        </w:trPr>
        <w:tc>
          <w:tcPr>
            <w:tcW w:w="1511" w:type="dxa"/>
            <w:tcBorders>
              <w:top w:val="nil"/>
              <w:left w:val="nil"/>
              <w:bottom w:val="nil"/>
              <w:right w:val="nil"/>
            </w:tcBorders>
          </w:tcPr>
          <w:p w14:paraId="66B0AE54" w14:textId="77777777" w:rsidR="00086EAE" w:rsidRPr="0054344B" w:rsidRDefault="00086EAE" w:rsidP="00086EAE">
            <w:pPr>
              <w:widowControl w:val="0"/>
              <w:autoSpaceDE w:val="0"/>
              <w:autoSpaceDN w:val="0"/>
              <w:adjustRightInd w:val="0"/>
            </w:pPr>
            <w:r w:rsidRPr="0054344B">
              <w:t>Invest.Trust4</w:t>
            </w:r>
          </w:p>
        </w:tc>
        <w:tc>
          <w:tcPr>
            <w:tcW w:w="1837" w:type="dxa"/>
            <w:tcBorders>
              <w:top w:val="nil"/>
              <w:left w:val="nil"/>
              <w:bottom w:val="nil"/>
              <w:right w:val="nil"/>
            </w:tcBorders>
          </w:tcPr>
          <w:p w14:paraId="231CC90C" w14:textId="77777777" w:rsidR="00086EAE" w:rsidRPr="0054344B" w:rsidRDefault="00086EAE" w:rsidP="00086EAE">
            <w:pPr>
              <w:widowControl w:val="0"/>
              <w:autoSpaceDE w:val="0"/>
              <w:autoSpaceDN w:val="0"/>
              <w:adjustRightInd w:val="0"/>
              <w:jc w:val="center"/>
            </w:pPr>
            <w:r w:rsidRPr="0054344B">
              <w:t>16.761</w:t>
            </w:r>
            <w:r w:rsidRPr="0054344B">
              <w:rPr>
                <w:vertAlign w:val="superscript"/>
              </w:rPr>
              <w:t>**</w:t>
            </w:r>
          </w:p>
        </w:tc>
        <w:tc>
          <w:tcPr>
            <w:tcW w:w="1895" w:type="dxa"/>
            <w:tcBorders>
              <w:top w:val="nil"/>
              <w:left w:val="nil"/>
              <w:bottom w:val="nil"/>
              <w:right w:val="nil"/>
            </w:tcBorders>
          </w:tcPr>
          <w:p w14:paraId="2259A6DB" w14:textId="77777777" w:rsidR="00086EAE" w:rsidRPr="0054344B" w:rsidRDefault="00086EAE" w:rsidP="00086EAE">
            <w:pPr>
              <w:widowControl w:val="0"/>
              <w:autoSpaceDE w:val="0"/>
              <w:autoSpaceDN w:val="0"/>
              <w:adjustRightInd w:val="0"/>
              <w:jc w:val="center"/>
            </w:pPr>
          </w:p>
        </w:tc>
      </w:tr>
      <w:tr w:rsidR="00086EAE" w:rsidRPr="0054344B" w14:paraId="6C97BEA5" w14:textId="77777777" w:rsidTr="00086EAE">
        <w:trPr>
          <w:trHeight w:val="315"/>
        </w:trPr>
        <w:tc>
          <w:tcPr>
            <w:tcW w:w="1511" w:type="dxa"/>
            <w:tcBorders>
              <w:top w:val="nil"/>
              <w:left w:val="nil"/>
              <w:bottom w:val="nil"/>
              <w:right w:val="nil"/>
            </w:tcBorders>
          </w:tcPr>
          <w:p w14:paraId="3FB9A142" w14:textId="77777777" w:rsidR="00086EAE" w:rsidRPr="0054344B" w:rsidRDefault="00086EAE" w:rsidP="00086EAE">
            <w:pPr>
              <w:widowControl w:val="0"/>
              <w:autoSpaceDE w:val="0"/>
              <w:autoSpaceDN w:val="0"/>
              <w:adjustRightInd w:val="0"/>
            </w:pPr>
          </w:p>
        </w:tc>
        <w:tc>
          <w:tcPr>
            <w:tcW w:w="1837" w:type="dxa"/>
            <w:tcBorders>
              <w:top w:val="nil"/>
              <w:left w:val="nil"/>
              <w:bottom w:val="nil"/>
              <w:right w:val="nil"/>
            </w:tcBorders>
          </w:tcPr>
          <w:p w14:paraId="4F6C3FD6" w14:textId="77777777" w:rsidR="00086EAE" w:rsidRPr="0054344B" w:rsidRDefault="00086EAE" w:rsidP="00086EAE">
            <w:pPr>
              <w:widowControl w:val="0"/>
              <w:autoSpaceDE w:val="0"/>
              <w:autoSpaceDN w:val="0"/>
              <w:adjustRightInd w:val="0"/>
              <w:jc w:val="center"/>
            </w:pPr>
            <w:r w:rsidRPr="0054344B">
              <w:t>(0.02)</w:t>
            </w:r>
          </w:p>
        </w:tc>
        <w:tc>
          <w:tcPr>
            <w:tcW w:w="1895" w:type="dxa"/>
            <w:tcBorders>
              <w:top w:val="nil"/>
              <w:left w:val="nil"/>
              <w:bottom w:val="nil"/>
              <w:right w:val="nil"/>
            </w:tcBorders>
          </w:tcPr>
          <w:p w14:paraId="06D9CCF0" w14:textId="77777777" w:rsidR="00086EAE" w:rsidRPr="0054344B" w:rsidRDefault="00086EAE" w:rsidP="00086EAE">
            <w:pPr>
              <w:widowControl w:val="0"/>
              <w:autoSpaceDE w:val="0"/>
              <w:autoSpaceDN w:val="0"/>
              <w:adjustRightInd w:val="0"/>
              <w:jc w:val="center"/>
            </w:pPr>
          </w:p>
        </w:tc>
      </w:tr>
      <w:tr w:rsidR="00086EAE" w:rsidRPr="0054344B" w14:paraId="1C784AE6" w14:textId="77777777" w:rsidTr="00086EAE">
        <w:trPr>
          <w:trHeight w:val="272"/>
        </w:trPr>
        <w:tc>
          <w:tcPr>
            <w:tcW w:w="1511" w:type="dxa"/>
            <w:tcBorders>
              <w:top w:val="nil"/>
              <w:left w:val="nil"/>
              <w:bottom w:val="nil"/>
              <w:right w:val="nil"/>
            </w:tcBorders>
          </w:tcPr>
          <w:p w14:paraId="1479A745" w14:textId="77777777" w:rsidR="00086EAE" w:rsidRPr="0054344B" w:rsidRDefault="00086EAE" w:rsidP="00086EAE">
            <w:pPr>
              <w:widowControl w:val="0"/>
              <w:autoSpaceDE w:val="0"/>
              <w:autoSpaceDN w:val="0"/>
              <w:adjustRightInd w:val="0"/>
            </w:pPr>
            <w:r w:rsidRPr="0054344B">
              <w:t>Banking-5</w:t>
            </w:r>
          </w:p>
        </w:tc>
        <w:tc>
          <w:tcPr>
            <w:tcW w:w="1837" w:type="dxa"/>
            <w:tcBorders>
              <w:top w:val="nil"/>
              <w:left w:val="nil"/>
              <w:bottom w:val="nil"/>
              <w:right w:val="nil"/>
            </w:tcBorders>
          </w:tcPr>
          <w:p w14:paraId="1A12C821" w14:textId="77777777" w:rsidR="00086EAE" w:rsidRPr="0054344B" w:rsidRDefault="00086EAE" w:rsidP="00086EAE">
            <w:pPr>
              <w:widowControl w:val="0"/>
              <w:autoSpaceDE w:val="0"/>
              <w:autoSpaceDN w:val="0"/>
              <w:adjustRightInd w:val="0"/>
              <w:jc w:val="center"/>
            </w:pPr>
            <w:r w:rsidRPr="0054344B">
              <w:t>-0.208</w:t>
            </w:r>
          </w:p>
        </w:tc>
        <w:tc>
          <w:tcPr>
            <w:tcW w:w="1895" w:type="dxa"/>
            <w:tcBorders>
              <w:top w:val="nil"/>
              <w:left w:val="nil"/>
              <w:bottom w:val="nil"/>
              <w:right w:val="nil"/>
            </w:tcBorders>
          </w:tcPr>
          <w:p w14:paraId="5D944718" w14:textId="77777777" w:rsidR="00086EAE" w:rsidRPr="0054344B" w:rsidRDefault="00086EAE" w:rsidP="00086EAE">
            <w:pPr>
              <w:widowControl w:val="0"/>
              <w:autoSpaceDE w:val="0"/>
              <w:autoSpaceDN w:val="0"/>
              <w:adjustRightInd w:val="0"/>
              <w:jc w:val="center"/>
            </w:pPr>
          </w:p>
        </w:tc>
      </w:tr>
      <w:tr w:rsidR="00086EAE" w:rsidRPr="0054344B" w14:paraId="3C78D920" w14:textId="77777777" w:rsidTr="00086EAE">
        <w:trPr>
          <w:trHeight w:val="297"/>
        </w:trPr>
        <w:tc>
          <w:tcPr>
            <w:tcW w:w="1511" w:type="dxa"/>
            <w:tcBorders>
              <w:top w:val="nil"/>
              <w:left w:val="nil"/>
              <w:bottom w:val="nil"/>
              <w:right w:val="nil"/>
            </w:tcBorders>
          </w:tcPr>
          <w:p w14:paraId="4DDE119A" w14:textId="77777777" w:rsidR="00086EAE" w:rsidRPr="0054344B" w:rsidRDefault="00086EAE" w:rsidP="00086EAE">
            <w:pPr>
              <w:widowControl w:val="0"/>
              <w:autoSpaceDE w:val="0"/>
              <w:autoSpaceDN w:val="0"/>
              <w:adjustRightInd w:val="0"/>
            </w:pPr>
          </w:p>
        </w:tc>
        <w:tc>
          <w:tcPr>
            <w:tcW w:w="1837" w:type="dxa"/>
            <w:tcBorders>
              <w:top w:val="nil"/>
              <w:left w:val="nil"/>
              <w:bottom w:val="nil"/>
              <w:right w:val="nil"/>
            </w:tcBorders>
          </w:tcPr>
          <w:p w14:paraId="5B5615B0" w14:textId="77777777" w:rsidR="00086EAE" w:rsidRPr="0054344B" w:rsidRDefault="00086EAE" w:rsidP="00086EAE">
            <w:pPr>
              <w:widowControl w:val="0"/>
              <w:autoSpaceDE w:val="0"/>
              <w:autoSpaceDN w:val="0"/>
              <w:adjustRightInd w:val="0"/>
              <w:jc w:val="center"/>
            </w:pPr>
            <w:r w:rsidRPr="0054344B">
              <w:t>(0.96)</w:t>
            </w:r>
          </w:p>
        </w:tc>
        <w:tc>
          <w:tcPr>
            <w:tcW w:w="1895" w:type="dxa"/>
            <w:tcBorders>
              <w:top w:val="nil"/>
              <w:left w:val="nil"/>
              <w:bottom w:val="nil"/>
              <w:right w:val="nil"/>
            </w:tcBorders>
          </w:tcPr>
          <w:p w14:paraId="108AEB7D" w14:textId="77777777" w:rsidR="00086EAE" w:rsidRPr="0054344B" w:rsidRDefault="00086EAE" w:rsidP="00086EAE">
            <w:pPr>
              <w:widowControl w:val="0"/>
              <w:autoSpaceDE w:val="0"/>
              <w:autoSpaceDN w:val="0"/>
              <w:adjustRightInd w:val="0"/>
              <w:jc w:val="center"/>
            </w:pPr>
          </w:p>
        </w:tc>
      </w:tr>
      <w:tr w:rsidR="00086EAE" w:rsidRPr="0054344B" w14:paraId="71E9025F" w14:textId="77777777" w:rsidTr="00086EAE">
        <w:trPr>
          <w:trHeight w:val="272"/>
        </w:trPr>
        <w:tc>
          <w:tcPr>
            <w:tcW w:w="1511" w:type="dxa"/>
            <w:tcBorders>
              <w:top w:val="nil"/>
              <w:left w:val="nil"/>
              <w:bottom w:val="nil"/>
              <w:right w:val="nil"/>
            </w:tcBorders>
          </w:tcPr>
          <w:p w14:paraId="032E7BBE" w14:textId="77777777" w:rsidR="00086EAE" w:rsidRPr="0054344B" w:rsidRDefault="00086EAE" w:rsidP="00086EAE">
            <w:pPr>
              <w:widowControl w:val="0"/>
              <w:autoSpaceDE w:val="0"/>
              <w:autoSpaceDN w:val="0"/>
              <w:adjustRightInd w:val="0"/>
            </w:pPr>
            <w:r w:rsidRPr="0054344B">
              <w:t>_constant</w:t>
            </w:r>
          </w:p>
        </w:tc>
        <w:tc>
          <w:tcPr>
            <w:tcW w:w="1837" w:type="dxa"/>
            <w:tcBorders>
              <w:top w:val="nil"/>
              <w:left w:val="nil"/>
              <w:bottom w:val="nil"/>
              <w:right w:val="nil"/>
            </w:tcBorders>
          </w:tcPr>
          <w:p w14:paraId="294DD6B5" w14:textId="77777777" w:rsidR="00086EAE" w:rsidRPr="0054344B" w:rsidRDefault="00086EAE" w:rsidP="00086EAE">
            <w:pPr>
              <w:widowControl w:val="0"/>
              <w:autoSpaceDE w:val="0"/>
              <w:autoSpaceDN w:val="0"/>
              <w:adjustRightInd w:val="0"/>
              <w:jc w:val="center"/>
            </w:pPr>
            <w:r w:rsidRPr="0054344B">
              <w:t>2.339</w:t>
            </w:r>
          </w:p>
        </w:tc>
        <w:tc>
          <w:tcPr>
            <w:tcW w:w="1895" w:type="dxa"/>
            <w:tcBorders>
              <w:top w:val="nil"/>
              <w:left w:val="nil"/>
              <w:bottom w:val="nil"/>
              <w:right w:val="nil"/>
            </w:tcBorders>
          </w:tcPr>
          <w:p w14:paraId="2A329774" w14:textId="77777777" w:rsidR="00086EAE" w:rsidRPr="0054344B" w:rsidRDefault="00086EAE" w:rsidP="00086EAE">
            <w:pPr>
              <w:widowControl w:val="0"/>
              <w:autoSpaceDE w:val="0"/>
              <w:autoSpaceDN w:val="0"/>
              <w:adjustRightInd w:val="0"/>
              <w:jc w:val="center"/>
            </w:pPr>
            <w:r w:rsidRPr="0054344B">
              <w:t>5.606</w:t>
            </w:r>
            <w:r w:rsidRPr="0054344B">
              <w:rPr>
                <w:vertAlign w:val="superscript"/>
              </w:rPr>
              <w:t>***</w:t>
            </w:r>
          </w:p>
        </w:tc>
      </w:tr>
      <w:tr w:rsidR="00086EAE" w:rsidRPr="0054344B" w14:paraId="7DCEA673" w14:textId="77777777" w:rsidTr="00086EAE">
        <w:trPr>
          <w:trHeight w:val="272"/>
        </w:trPr>
        <w:tc>
          <w:tcPr>
            <w:tcW w:w="1511" w:type="dxa"/>
            <w:tcBorders>
              <w:top w:val="nil"/>
              <w:left w:val="nil"/>
              <w:bottom w:val="single" w:sz="4" w:space="0" w:color="auto"/>
              <w:right w:val="nil"/>
            </w:tcBorders>
          </w:tcPr>
          <w:p w14:paraId="130CF06C" w14:textId="77777777" w:rsidR="00086EAE" w:rsidRPr="0054344B" w:rsidRDefault="00086EAE" w:rsidP="00086EAE">
            <w:pPr>
              <w:widowControl w:val="0"/>
              <w:autoSpaceDE w:val="0"/>
              <w:autoSpaceDN w:val="0"/>
              <w:adjustRightInd w:val="0"/>
            </w:pPr>
          </w:p>
          <w:p w14:paraId="72702716" w14:textId="77777777" w:rsidR="00086EAE" w:rsidRPr="0054344B" w:rsidRDefault="00086EAE" w:rsidP="00086EAE">
            <w:pPr>
              <w:widowControl w:val="0"/>
              <w:autoSpaceDE w:val="0"/>
              <w:autoSpaceDN w:val="0"/>
              <w:adjustRightInd w:val="0"/>
            </w:pPr>
            <w:r w:rsidRPr="0054344B">
              <w:t xml:space="preserve">Year                          </w:t>
            </w:r>
          </w:p>
        </w:tc>
        <w:tc>
          <w:tcPr>
            <w:tcW w:w="1837" w:type="dxa"/>
            <w:tcBorders>
              <w:top w:val="nil"/>
              <w:left w:val="nil"/>
              <w:bottom w:val="single" w:sz="4" w:space="0" w:color="auto"/>
              <w:right w:val="nil"/>
            </w:tcBorders>
          </w:tcPr>
          <w:p w14:paraId="53987E9D" w14:textId="77777777" w:rsidR="00086EAE" w:rsidRPr="0054344B" w:rsidRDefault="00086EAE" w:rsidP="00086EAE">
            <w:pPr>
              <w:widowControl w:val="0"/>
              <w:autoSpaceDE w:val="0"/>
              <w:autoSpaceDN w:val="0"/>
              <w:adjustRightInd w:val="0"/>
              <w:jc w:val="center"/>
            </w:pPr>
            <w:r w:rsidRPr="0054344B">
              <w:t>(0.73)</w:t>
            </w:r>
          </w:p>
          <w:p w14:paraId="1C3E1E2F" w14:textId="77777777" w:rsidR="00086EAE" w:rsidRPr="0054344B" w:rsidRDefault="00086EAE" w:rsidP="00086EAE">
            <w:pPr>
              <w:widowControl w:val="0"/>
              <w:autoSpaceDE w:val="0"/>
              <w:autoSpaceDN w:val="0"/>
              <w:adjustRightInd w:val="0"/>
              <w:jc w:val="center"/>
            </w:pPr>
            <w:r w:rsidRPr="0054344B">
              <w:t>YES</w:t>
            </w:r>
          </w:p>
        </w:tc>
        <w:tc>
          <w:tcPr>
            <w:tcW w:w="1895" w:type="dxa"/>
            <w:tcBorders>
              <w:top w:val="nil"/>
              <w:left w:val="nil"/>
              <w:bottom w:val="single" w:sz="4" w:space="0" w:color="auto"/>
              <w:right w:val="nil"/>
            </w:tcBorders>
          </w:tcPr>
          <w:p w14:paraId="1618C00D" w14:textId="77777777" w:rsidR="00086EAE" w:rsidRPr="0054344B" w:rsidRDefault="00086EAE" w:rsidP="00086EAE">
            <w:pPr>
              <w:widowControl w:val="0"/>
              <w:autoSpaceDE w:val="0"/>
              <w:autoSpaceDN w:val="0"/>
              <w:adjustRightInd w:val="0"/>
              <w:jc w:val="center"/>
            </w:pPr>
            <w:r w:rsidRPr="0054344B">
              <w:t>(0.00)</w:t>
            </w:r>
          </w:p>
          <w:p w14:paraId="4E8C776E" w14:textId="77777777" w:rsidR="00086EAE" w:rsidRPr="0054344B" w:rsidRDefault="00086EAE" w:rsidP="00086EAE">
            <w:pPr>
              <w:widowControl w:val="0"/>
              <w:autoSpaceDE w:val="0"/>
              <w:autoSpaceDN w:val="0"/>
              <w:adjustRightInd w:val="0"/>
              <w:jc w:val="center"/>
            </w:pPr>
            <w:r w:rsidRPr="0054344B">
              <w:t>YES</w:t>
            </w:r>
          </w:p>
        </w:tc>
      </w:tr>
      <w:tr w:rsidR="00086EAE" w:rsidRPr="0054344B" w14:paraId="14376C77" w14:textId="77777777" w:rsidTr="00086EAE">
        <w:trPr>
          <w:trHeight w:val="252"/>
        </w:trPr>
        <w:tc>
          <w:tcPr>
            <w:tcW w:w="1511" w:type="dxa"/>
            <w:tcBorders>
              <w:top w:val="single" w:sz="4" w:space="0" w:color="auto"/>
              <w:left w:val="nil"/>
              <w:bottom w:val="nil"/>
              <w:right w:val="nil"/>
            </w:tcBorders>
          </w:tcPr>
          <w:p w14:paraId="7BD494C4" w14:textId="77777777" w:rsidR="00086EAE" w:rsidRPr="0054344B" w:rsidRDefault="00086EAE" w:rsidP="00086EAE">
            <w:pPr>
              <w:widowControl w:val="0"/>
              <w:autoSpaceDE w:val="0"/>
              <w:autoSpaceDN w:val="0"/>
              <w:adjustRightInd w:val="0"/>
            </w:pPr>
            <w:r w:rsidRPr="0054344B">
              <w:rPr>
                <w:i/>
                <w:iCs/>
              </w:rPr>
              <w:t>N</w:t>
            </w:r>
          </w:p>
        </w:tc>
        <w:tc>
          <w:tcPr>
            <w:tcW w:w="1837" w:type="dxa"/>
            <w:tcBorders>
              <w:top w:val="single" w:sz="4" w:space="0" w:color="auto"/>
              <w:left w:val="nil"/>
              <w:bottom w:val="nil"/>
              <w:right w:val="nil"/>
            </w:tcBorders>
          </w:tcPr>
          <w:p w14:paraId="255C214F" w14:textId="77777777" w:rsidR="00086EAE" w:rsidRPr="0054344B" w:rsidRDefault="00086EAE" w:rsidP="00086EAE">
            <w:pPr>
              <w:widowControl w:val="0"/>
              <w:autoSpaceDE w:val="0"/>
              <w:autoSpaceDN w:val="0"/>
              <w:adjustRightInd w:val="0"/>
              <w:jc w:val="center"/>
            </w:pPr>
            <w:r w:rsidRPr="0054344B">
              <w:t>756</w:t>
            </w:r>
          </w:p>
        </w:tc>
        <w:tc>
          <w:tcPr>
            <w:tcW w:w="1895" w:type="dxa"/>
            <w:tcBorders>
              <w:top w:val="single" w:sz="4" w:space="0" w:color="auto"/>
              <w:left w:val="nil"/>
              <w:bottom w:val="nil"/>
              <w:right w:val="nil"/>
            </w:tcBorders>
          </w:tcPr>
          <w:p w14:paraId="5A76A226" w14:textId="77777777" w:rsidR="00086EAE" w:rsidRPr="0054344B" w:rsidRDefault="00086EAE" w:rsidP="00086EAE">
            <w:pPr>
              <w:widowControl w:val="0"/>
              <w:autoSpaceDE w:val="0"/>
              <w:autoSpaceDN w:val="0"/>
              <w:adjustRightInd w:val="0"/>
              <w:jc w:val="center"/>
            </w:pPr>
            <w:r w:rsidRPr="0054344B">
              <w:t>756</w:t>
            </w:r>
          </w:p>
        </w:tc>
      </w:tr>
      <w:tr w:rsidR="00086EAE" w:rsidRPr="0054344B" w14:paraId="45C03BFC" w14:textId="77777777" w:rsidTr="00086EAE">
        <w:trPr>
          <w:trHeight w:val="272"/>
        </w:trPr>
        <w:tc>
          <w:tcPr>
            <w:tcW w:w="1511" w:type="dxa"/>
            <w:tcBorders>
              <w:top w:val="nil"/>
              <w:left w:val="nil"/>
              <w:bottom w:val="nil"/>
              <w:right w:val="nil"/>
            </w:tcBorders>
          </w:tcPr>
          <w:p w14:paraId="2D48D0D9" w14:textId="77777777" w:rsidR="00086EAE" w:rsidRPr="0054344B" w:rsidRDefault="00086EAE" w:rsidP="00086EAE">
            <w:pPr>
              <w:widowControl w:val="0"/>
              <w:autoSpaceDE w:val="0"/>
              <w:autoSpaceDN w:val="0"/>
              <w:adjustRightInd w:val="0"/>
            </w:pPr>
            <w:r w:rsidRPr="0054344B">
              <w:rPr>
                <w:i/>
                <w:iCs/>
              </w:rPr>
              <w:t>R</w:t>
            </w:r>
            <w:r w:rsidRPr="0054344B">
              <w:rPr>
                <w:vertAlign w:val="superscript"/>
              </w:rPr>
              <w:t>2</w:t>
            </w:r>
          </w:p>
        </w:tc>
        <w:tc>
          <w:tcPr>
            <w:tcW w:w="1837" w:type="dxa"/>
            <w:tcBorders>
              <w:top w:val="nil"/>
              <w:left w:val="nil"/>
              <w:bottom w:val="nil"/>
              <w:right w:val="nil"/>
            </w:tcBorders>
          </w:tcPr>
          <w:p w14:paraId="5D80D079" w14:textId="77777777" w:rsidR="00086EAE" w:rsidRPr="0054344B" w:rsidRDefault="00086EAE" w:rsidP="00086EAE">
            <w:pPr>
              <w:widowControl w:val="0"/>
              <w:autoSpaceDE w:val="0"/>
              <w:autoSpaceDN w:val="0"/>
              <w:adjustRightInd w:val="0"/>
              <w:jc w:val="center"/>
            </w:pPr>
          </w:p>
        </w:tc>
        <w:tc>
          <w:tcPr>
            <w:tcW w:w="1895" w:type="dxa"/>
            <w:tcBorders>
              <w:top w:val="nil"/>
              <w:left w:val="nil"/>
              <w:bottom w:val="nil"/>
              <w:right w:val="nil"/>
            </w:tcBorders>
          </w:tcPr>
          <w:p w14:paraId="31CAA247" w14:textId="77777777" w:rsidR="00086EAE" w:rsidRPr="0054344B" w:rsidRDefault="00086EAE" w:rsidP="00086EAE">
            <w:pPr>
              <w:widowControl w:val="0"/>
              <w:autoSpaceDE w:val="0"/>
              <w:autoSpaceDN w:val="0"/>
              <w:adjustRightInd w:val="0"/>
              <w:jc w:val="center"/>
            </w:pPr>
            <w:r w:rsidRPr="0054344B">
              <w:t>0.130</w:t>
            </w:r>
          </w:p>
        </w:tc>
      </w:tr>
      <w:tr w:rsidR="00086EAE" w:rsidRPr="0054344B" w14:paraId="5D0798CB" w14:textId="77777777" w:rsidTr="00086EAE">
        <w:trPr>
          <w:trHeight w:val="272"/>
        </w:trPr>
        <w:tc>
          <w:tcPr>
            <w:tcW w:w="1511" w:type="dxa"/>
            <w:tcBorders>
              <w:top w:val="nil"/>
              <w:left w:val="nil"/>
              <w:bottom w:val="single" w:sz="4" w:space="0" w:color="auto"/>
              <w:right w:val="nil"/>
            </w:tcBorders>
          </w:tcPr>
          <w:p w14:paraId="7ACA033E" w14:textId="77777777" w:rsidR="00086EAE" w:rsidRPr="0054344B" w:rsidRDefault="00C94643" w:rsidP="00086EAE">
            <w:pPr>
              <w:widowControl w:val="0"/>
              <w:autoSpaceDE w:val="0"/>
              <w:autoSpaceDN w:val="0"/>
              <w:adjustRightInd w:val="0"/>
            </w:pPr>
            <w:r w:rsidRPr="0054344B">
              <w:t>P</w:t>
            </w:r>
          </w:p>
        </w:tc>
        <w:tc>
          <w:tcPr>
            <w:tcW w:w="1837" w:type="dxa"/>
            <w:tcBorders>
              <w:top w:val="nil"/>
              <w:left w:val="nil"/>
              <w:bottom w:val="single" w:sz="4" w:space="0" w:color="auto"/>
              <w:right w:val="nil"/>
            </w:tcBorders>
          </w:tcPr>
          <w:p w14:paraId="32EB536A" w14:textId="77777777" w:rsidR="00086EAE" w:rsidRPr="0054344B" w:rsidRDefault="00086EAE" w:rsidP="00086EAE">
            <w:pPr>
              <w:widowControl w:val="0"/>
              <w:autoSpaceDE w:val="0"/>
              <w:autoSpaceDN w:val="0"/>
              <w:adjustRightInd w:val="0"/>
              <w:jc w:val="center"/>
            </w:pPr>
            <w:r w:rsidRPr="0054344B">
              <w:t>0.000</w:t>
            </w:r>
          </w:p>
        </w:tc>
        <w:tc>
          <w:tcPr>
            <w:tcW w:w="1895" w:type="dxa"/>
            <w:tcBorders>
              <w:top w:val="nil"/>
              <w:left w:val="nil"/>
              <w:bottom w:val="single" w:sz="4" w:space="0" w:color="auto"/>
              <w:right w:val="nil"/>
            </w:tcBorders>
          </w:tcPr>
          <w:p w14:paraId="08EBE6F2" w14:textId="77777777" w:rsidR="00086EAE" w:rsidRPr="0054344B" w:rsidRDefault="00086EAE" w:rsidP="00086EAE">
            <w:pPr>
              <w:widowControl w:val="0"/>
              <w:autoSpaceDE w:val="0"/>
              <w:autoSpaceDN w:val="0"/>
              <w:adjustRightInd w:val="0"/>
              <w:jc w:val="center"/>
            </w:pPr>
            <w:r w:rsidRPr="0054344B">
              <w:t>0.000</w:t>
            </w:r>
          </w:p>
        </w:tc>
      </w:tr>
    </w:tbl>
    <w:p w14:paraId="077D9D82" w14:textId="77777777" w:rsidR="00086EAE" w:rsidRPr="0054344B" w:rsidRDefault="00086EAE" w:rsidP="00086EAE">
      <w:pPr>
        <w:widowControl w:val="0"/>
        <w:autoSpaceDE w:val="0"/>
        <w:autoSpaceDN w:val="0"/>
        <w:adjustRightInd w:val="0"/>
        <w:jc w:val="both"/>
        <w:rPr>
          <w:iCs/>
          <w:sz w:val="16"/>
          <w:szCs w:val="16"/>
        </w:rPr>
      </w:pPr>
      <w:r w:rsidRPr="0054344B">
        <w:rPr>
          <w:b/>
          <w:i/>
          <w:iCs/>
          <w:sz w:val="16"/>
          <w:szCs w:val="16"/>
        </w:rPr>
        <w:t>Note</w:t>
      </w:r>
      <w:r w:rsidRPr="0054344B">
        <w:rPr>
          <w:b/>
          <w:iCs/>
          <w:sz w:val="16"/>
          <w:szCs w:val="16"/>
        </w:rPr>
        <w:t>:</w:t>
      </w:r>
      <w:r w:rsidRPr="0054344B">
        <w:rPr>
          <w:iCs/>
          <w:sz w:val="16"/>
          <w:szCs w:val="16"/>
        </w:rPr>
        <w:t xml:space="preserve"> The result shows </w:t>
      </w:r>
      <w:r w:rsidRPr="0054344B">
        <w:rPr>
          <w:sz w:val="16"/>
          <w:szCs w:val="16"/>
        </w:rPr>
        <w:t xml:space="preserve">756 observations of the various variables; the </w:t>
      </w:r>
      <w:r w:rsidRPr="0054344B">
        <w:rPr>
          <w:i/>
          <w:iCs/>
          <w:sz w:val="16"/>
          <w:szCs w:val="16"/>
        </w:rPr>
        <w:t>R</w:t>
      </w:r>
      <w:r w:rsidRPr="0054344B">
        <w:rPr>
          <w:sz w:val="16"/>
          <w:szCs w:val="16"/>
          <w:vertAlign w:val="superscript"/>
        </w:rPr>
        <w:t>2</w:t>
      </w:r>
      <w:r w:rsidRPr="0054344B">
        <w:rPr>
          <w:iCs/>
          <w:sz w:val="16"/>
          <w:szCs w:val="16"/>
        </w:rPr>
        <w:t xml:space="preserve"> and the p-value are significant; </w:t>
      </w:r>
      <w:r w:rsidR="003673A0" w:rsidRPr="0054344B">
        <w:rPr>
          <w:sz w:val="16"/>
          <w:szCs w:val="16"/>
        </w:rPr>
        <w:t>AC</w:t>
      </w:r>
      <w:r w:rsidRPr="0054344B">
        <w:rPr>
          <w:sz w:val="16"/>
          <w:szCs w:val="16"/>
        </w:rPr>
        <w:t xml:space="preserve"> </w:t>
      </w:r>
      <w:r w:rsidR="004F6DAD" w:rsidRPr="0054344B">
        <w:rPr>
          <w:sz w:val="16"/>
          <w:szCs w:val="16"/>
        </w:rPr>
        <w:t>is</w:t>
      </w:r>
      <w:r w:rsidRPr="0054344B">
        <w:rPr>
          <w:sz w:val="16"/>
          <w:szCs w:val="16"/>
        </w:rPr>
        <w:t xml:space="preserve"> responsible for reviewing </w:t>
      </w:r>
      <w:r w:rsidR="004F6DAD" w:rsidRPr="0054344B">
        <w:rPr>
          <w:sz w:val="16"/>
          <w:szCs w:val="16"/>
        </w:rPr>
        <w:t xml:space="preserve">a firm’s </w:t>
      </w:r>
      <w:r w:rsidRPr="0054344B">
        <w:rPr>
          <w:sz w:val="16"/>
          <w:szCs w:val="16"/>
        </w:rPr>
        <w:t xml:space="preserve">financial statement, </w:t>
      </w:r>
      <w:r w:rsidR="004F6DAD" w:rsidRPr="0054344B">
        <w:rPr>
          <w:sz w:val="16"/>
          <w:szCs w:val="16"/>
        </w:rPr>
        <w:t xml:space="preserve">a </w:t>
      </w:r>
      <w:r w:rsidRPr="0054344B">
        <w:rPr>
          <w:sz w:val="16"/>
          <w:szCs w:val="16"/>
        </w:rPr>
        <w:t>firm’s internal financial controls, risk management systems and ensur</w:t>
      </w:r>
      <w:r w:rsidR="004F6DAD" w:rsidRPr="0054344B">
        <w:rPr>
          <w:sz w:val="16"/>
          <w:szCs w:val="16"/>
        </w:rPr>
        <w:t>ing</w:t>
      </w:r>
      <w:r w:rsidRPr="0054344B">
        <w:rPr>
          <w:sz w:val="16"/>
          <w:szCs w:val="16"/>
        </w:rPr>
        <w:t xml:space="preserve"> the objectivity of the audit process is maintained (FRC, 2014).</w:t>
      </w:r>
      <w:r w:rsidRPr="0054344B">
        <w:rPr>
          <w:iCs/>
          <w:sz w:val="16"/>
          <w:szCs w:val="16"/>
        </w:rPr>
        <w:t xml:space="preserve"> Ex</w:t>
      </w:r>
      <w:r w:rsidR="003673A0" w:rsidRPr="0054344B">
        <w:rPr>
          <w:iCs/>
          <w:sz w:val="16"/>
          <w:szCs w:val="16"/>
        </w:rPr>
        <w:t>amining the effects of AC</w:t>
      </w:r>
      <w:r w:rsidRPr="0054344B">
        <w:rPr>
          <w:iCs/>
          <w:sz w:val="16"/>
          <w:szCs w:val="16"/>
        </w:rPr>
        <w:t xml:space="preserve"> on firm performance</w:t>
      </w:r>
      <w:r w:rsidR="004F6DAD" w:rsidRPr="0054344B">
        <w:rPr>
          <w:iCs/>
          <w:sz w:val="16"/>
          <w:szCs w:val="16"/>
        </w:rPr>
        <w:t xml:space="preserve"> –</w:t>
      </w:r>
      <w:r w:rsidRPr="0054344B">
        <w:rPr>
          <w:iCs/>
          <w:sz w:val="16"/>
          <w:szCs w:val="16"/>
        </w:rPr>
        <w:t xml:space="preserve"> this is measured using Tobin’s Q; </w:t>
      </w:r>
      <w:r w:rsidR="004F6DAD" w:rsidRPr="0054344B">
        <w:rPr>
          <w:iCs/>
          <w:sz w:val="16"/>
          <w:szCs w:val="16"/>
        </w:rPr>
        <w:t>g</w:t>
      </w:r>
      <w:r w:rsidRPr="0054344B">
        <w:rPr>
          <w:sz w:val="16"/>
          <w:szCs w:val="16"/>
        </w:rPr>
        <w:t xml:space="preserve">rowth </w:t>
      </w:r>
      <w:r w:rsidR="004F6DAD" w:rsidRPr="0054344B">
        <w:rPr>
          <w:sz w:val="16"/>
          <w:szCs w:val="16"/>
        </w:rPr>
        <w:t>i</w:t>
      </w:r>
      <w:r w:rsidRPr="0054344B">
        <w:rPr>
          <w:sz w:val="16"/>
          <w:szCs w:val="16"/>
        </w:rPr>
        <w:t xml:space="preserve">s defined as the ratio of sales growth to total assets growth.; </w:t>
      </w:r>
      <w:r w:rsidR="004F6DAD" w:rsidRPr="0054344B">
        <w:rPr>
          <w:sz w:val="16"/>
          <w:szCs w:val="16"/>
        </w:rPr>
        <w:t>c</w:t>
      </w:r>
      <w:r w:rsidRPr="0054344B">
        <w:rPr>
          <w:sz w:val="16"/>
          <w:szCs w:val="16"/>
        </w:rPr>
        <w:t xml:space="preserve">apital </w:t>
      </w:r>
      <w:r w:rsidR="004F6DAD" w:rsidRPr="0054344B">
        <w:rPr>
          <w:sz w:val="16"/>
          <w:szCs w:val="16"/>
        </w:rPr>
        <w:t>s</w:t>
      </w:r>
      <w:r w:rsidRPr="0054344B">
        <w:rPr>
          <w:sz w:val="16"/>
          <w:szCs w:val="16"/>
        </w:rPr>
        <w:t xml:space="preserve">tructure (LEV) is defined as the </w:t>
      </w:r>
      <w:r w:rsidR="00192E1F" w:rsidRPr="0054344B">
        <w:rPr>
          <w:sz w:val="16"/>
          <w:szCs w:val="16"/>
        </w:rPr>
        <w:t>p</w:t>
      </w:r>
      <w:r w:rsidRPr="0054344B">
        <w:rPr>
          <w:sz w:val="16"/>
          <w:szCs w:val="16"/>
        </w:rPr>
        <w:t>ercentage</w:t>
      </w:r>
      <w:r w:rsidR="003673A0" w:rsidRPr="0054344B">
        <w:rPr>
          <w:sz w:val="16"/>
          <w:szCs w:val="16"/>
        </w:rPr>
        <w:t xml:space="preserve"> of total debt to total assets;FSIZE</w:t>
      </w:r>
      <w:r w:rsidRPr="0054344B">
        <w:rPr>
          <w:sz w:val="16"/>
          <w:szCs w:val="16"/>
        </w:rPr>
        <w:t xml:space="preserve"> </w:t>
      </w:r>
      <w:r w:rsidR="004F6DAD" w:rsidRPr="0054344B">
        <w:rPr>
          <w:sz w:val="16"/>
          <w:szCs w:val="16"/>
        </w:rPr>
        <w:t>i</w:t>
      </w:r>
      <w:r w:rsidRPr="0054344B">
        <w:rPr>
          <w:sz w:val="16"/>
          <w:szCs w:val="16"/>
        </w:rPr>
        <w:t>s defined as the natural log of total assets; BIG4 are (PricewaterhouseCoopers, Deloitte &amp; Touche, E</w:t>
      </w:r>
      <w:r w:rsidR="003673A0" w:rsidRPr="0054344B">
        <w:rPr>
          <w:sz w:val="16"/>
          <w:szCs w:val="16"/>
        </w:rPr>
        <w:t>rnst&amp; Young and KPMG); DUAL</w:t>
      </w:r>
      <w:r w:rsidR="004F6DAD" w:rsidRPr="0054344B">
        <w:rPr>
          <w:sz w:val="16"/>
          <w:szCs w:val="16"/>
        </w:rPr>
        <w:t xml:space="preserve"> i</w:t>
      </w:r>
      <w:r w:rsidRPr="0054344B">
        <w:rPr>
          <w:sz w:val="16"/>
          <w:szCs w:val="16"/>
        </w:rPr>
        <w:t>s defined as a situation where the firm is cross-liste</w:t>
      </w:r>
      <w:r w:rsidR="003673A0" w:rsidRPr="0054344B">
        <w:rPr>
          <w:sz w:val="16"/>
          <w:szCs w:val="16"/>
        </w:rPr>
        <w:t>d in other countries. IND</w:t>
      </w:r>
      <w:r w:rsidRPr="0054344B">
        <w:rPr>
          <w:sz w:val="16"/>
          <w:szCs w:val="16"/>
        </w:rPr>
        <w:t xml:space="preserve"> shows the sector a firm operates in. This research classifies financial institutions into 5</w:t>
      </w:r>
      <w:r w:rsidR="00192E1F" w:rsidRPr="0054344B">
        <w:rPr>
          <w:sz w:val="16"/>
          <w:szCs w:val="16"/>
        </w:rPr>
        <w:t xml:space="preserve"> </w:t>
      </w:r>
      <w:r w:rsidRPr="0054344B">
        <w:rPr>
          <w:sz w:val="16"/>
          <w:szCs w:val="16"/>
        </w:rPr>
        <w:t>sectors/industries, namely: 1. Investment services</w:t>
      </w:r>
      <w:r w:rsidR="004F6DAD" w:rsidRPr="0054344B">
        <w:rPr>
          <w:sz w:val="16"/>
          <w:szCs w:val="16"/>
        </w:rPr>
        <w:t>:</w:t>
      </w:r>
      <w:r w:rsidRPr="0054344B">
        <w:rPr>
          <w:sz w:val="16"/>
          <w:szCs w:val="16"/>
        </w:rPr>
        <w:t xml:space="preserve"> 2. Insurance</w:t>
      </w:r>
      <w:r w:rsidR="004F6DAD" w:rsidRPr="0054344B">
        <w:rPr>
          <w:sz w:val="16"/>
          <w:szCs w:val="16"/>
        </w:rPr>
        <w:t>;</w:t>
      </w:r>
      <w:r w:rsidRPr="0054344B">
        <w:rPr>
          <w:sz w:val="16"/>
          <w:szCs w:val="16"/>
        </w:rPr>
        <w:t xml:space="preserve"> 3</w:t>
      </w:r>
      <w:r w:rsidR="004F6DAD" w:rsidRPr="0054344B">
        <w:rPr>
          <w:sz w:val="16"/>
          <w:szCs w:val="16"/>
        </w:rPr>
        <w:t>.</w:t>
      </w:r>
      <w:r w:rsidR="00192E1F" w:rsidRPr="0054344B">
        <w:rPr>
          <w:sz w:val="16"/>
          <w:szCs w:val="16"/>
        </w:rPr>
        <w:t xml:space="preserve"> </w:t>
      </w:r>
      <w:r w:rsidRPr="0054344B">
        <w:rPr>
          <w:sz w:val="16"/>
          <w:szCs w:val="16"/>
        </w:rPr>
        <w:t>Mortgages</w:t>
      </w:r>
      <w:r w:rsidR="004F6DAD" w:rsidRPr="0054344B">
        <w:rPr>
          <w:sz w:val="16"/>
          <w:szCs w:val="16"/>
        </w:rPr>
        <w:t>;</w:t>
      </w:r>
      <w:r w:rsidRPr="0054344B">
        <w:rPr>
          <w:sz w:val="16"/>
          <w:szCs w:val="16"/>
        </w:rPr>
        <w:t xml:space="preserve"> 4.</w:t>
      </w:r>
      <w:r w:rsidR="004F6DAD" w:rsidRPr="0054344B">
        <w:rPr>
          <w:sz w:val="16"/>
          <w:szCs w:val="16"/>
        </w:rPr>
        <w:t xml:space="preserve"> </w:t>
      </w:r>
      <w:r w:rsidRPr="0054344B">
        <w:rPr>
          <w:sz w:val="16"/>
          <w:szCs w:val="16"/>
        </w:rPr>
        <w:t>Investment Trust</w:t>
      </w:r>
      <w:r w:rsidR="004F6DAD" w:rsidRPr="0054344B">
        <w:rPr>
          <w:sz w:val="16"/>
          <w:szCs w:val="16"/>
        </w:rPr>
        <w:t>;</w:t>
      </w:r>
      <w:r w:rsidRPr="0054344B">
        <w:rPr>
          <w:sz w:val="16"/>
          <w:szCs w:val="16"/>
        </w:rPr>
        <w:t xml:space="preserve"> 5. Banking Services. The years chosen for the research </w:t>
      </w:r>
      <w:r w:rsidR="004F6DAD" w:rsidRPr="0054344B">
        <w:rPr>
          <w:sz w:val="16"/>
          <w:szCs w:val="16"/>
        </w:rPr>
        <w:t xml:space="preserve">are </w:t>
      </w:r>
      <w:r w:rsidRPr="0054344B">
        <w:rPr>
          <w:sz w:val="16"/>
          <w:szCs w:val="16"/>
        </w:rPr>
        <w:t>from 2000 to 2011</w:t>
      </w:r>
      <w:r w:rsidRPr="0054344B">
        <w:rPr>
          <w:iCs/>
          <w:sz w:val="16"/>
          <w:szCs w:val="16"/>
        </w:rPr>
        <w:t xml:space="preserve">. </w:t>
      </w:r>
      <w:r w:rsidRPr="0054344B">
        <w:rPr>
          <w:sz w:val="16"/>
          <w:szCs w:val="16"/>
        </w:rPr>
        <w:t xml:space="preserve"> ***, ** and * denote correlation </w:t>
      </w:r>
      <w:r w:rsidR="004F6DAD" w:rsidRPr="0054344B">
        <w:rPr>
          <w:sz w:val="16"/>
          <w:szCs w:val="16"/>
        </w:rPr>
        <w:t xml:space="preserve">and are </w:t>
      </w:r>
      <w:r w:rsidRPr="0054344B">
        <w:rPr>
          <w:sz w:val="16"/>
          <w:szCs w:val="16"/>
        </w:rPr>
        <w:t>significant at the 1%, 5% and 10% level, respectively</w:t>
      </w:r>
      <w:bookmarkEnd w:id="4"/>
      <w:r w:rsidRPr="0054344B">
        <w:rPr>
          <w:sz w:val="16"/>
          <w:szCs w:val="16"/>
        </w:rPr>
        <w:t>.</w:t>
      </w:r>
    </w:p>
    <w:p w14:paraId="79103E11" w14:textId="77777777" w:rsidR="00086EAE" w:rsidRPr="0054344B" w:rsidRDefault="00086EAE" w:rsidP="00086EAE">
      <w:pPr>
        <w:widowControl w:val="0"/>
        <w:autoSpaceDE w:val="0"/>
        <w:autoSpaceDN w:val="0"/>
        <w:adjustRightInd w:val="0"/>
        <w:jc w:val="both"/>
        <w:rPr>
          <w:sz w:val="16"/>
          <w:szCs w:val="16"/>
        </w:rPr>
      </w:pPr>
    </w:p>
    <w:p w14:paraId="7F2A1B11" w14:textId="77777777" w:rsidR="00086EAE" w:rsidRPr="0054344B" w:rsidRDefault="00086EAE" w:rsidP="00086EAE">
      <w:pPr>
        <w:widowControl w:val="0"/>
        <w:autoSpaceDE w:val="0"/>
        <w:autoSpaceDN w:val="0"/>
        <w:adjustRightInd w:val="0"/>
        <w:jc w:val="both"/>
        <w:rPr>
          <w:sz w:val="16"/>
          <w:szCs w:val="16"/>
        </w:rPr>
      </w:pPr>
    </w:p>
    <w:p w14:paraId="0D5D55FD" w14:textId="77777777" w:rsidR="00086EAE" w:rsidRPr="0054344B" w:rsidRDefault="00086EAE" w:rsidP="00086EAE">
      <w:pPr>
        <w:widowControl w:val="0"/>
        <w:autoSpaceDE w:val="0"/>
        <w:autoSpaceDN w:val="0"/>
        <w:adjustRightInd w:val="0"/>
        <w:jc w:val="both"/>
        <w:rPr>
          <w:sz w:val="16"/>
          <w:szCs w:val="16"/>
        </w:rPr>
      </w:pPr>
    </w:p>
    <w:p w14:paraId="50B8734C" w14:textId="77777777" w:rsidR="00086EAE" w:rsidRPr="0054344B" w:rsidRDefault="00086EAE" w:rsidP="00086EAE">
      <w:pPr>
        <w:widowControl w:val="0"/>
        <w:autoSpaceDE w:val="0"/>
        <w:autoSpaceDN w:val="0"/>
        <w:adjustRightInd w:val="0"/>
        <w:jc w:val="both"/>
        <w:rPr>
          <w:sz w:val="16"/>
          <w:szCs w:val="16"/>
        </w:rPr>
      </w:pPr>
    </w:p>
    <w:p w14:paraId="4F2C00C7" w14:textId="77777777" w:rsidR="00086EAE" w:rsidRPr="0054344B" w:rsidRDefault="00086EAE" w:rsidP="00086EAE">
      <w:pPr>
        <w:widowControl w:val="0"/>
        <w:autoSpaceDE w:val="0"/>
        <w:autoSpaceDN w:val="0"/>
        <w:adjustRightInd w:val="0"/>
        <w:jc w:val="both"/>
        <w:rPr>
          <w:sz w:val="16"/>
          <w:szCs w:val="16"/>
        </w:rPr>
      </w:pPr>
    </w:p>
    <w:p w14:paraId="6626A7C9" w14:textId="77777777" w:rsidR="00086EAE" w:rsidRPr="0054344B" w:rsidRDefault="00086EAE" w:rsidP="00086EAE">
      <w:pPr>
        <w:widowControl w:val="0"/>
        <w:autoSpaceDE w:val="0"/>
        <w:autoSpaceDN w:val="0"/>
        <w:adjustRightInd w:val="0"/>
        <w:jc w:val="both"/>
        <w:rPr>
          <w:sz w:val="16"/>
          <w:szCs w:val="16"/>
        </w:rPr>
      </w:pPr>
    </w:p>
    <w:p w14:paraId="73FFAD85" w14:textId="77777777" w:rsidR="00086EAE" w:rsidRPr="0054344B" w:rsidRDefault="00086EAE" w:rsidP="00086EAE">
      <w:pPr>
        <w:widowControl w:val="0"/>
        <w:autoSpaceDE w:val="0"/>
        <w:autoSpaceDN w:val="0"/>
        <w:adjustRightInd w:val="0"/>
        <w:jc w:val="both"/>
        <w:rPr>
          <w:sz w:val="16"/>
          <w:szCs w:val="16"/>
        </w:rPr>
      </w:pPr>
    </w:p>
    <w:p w14:paraId="32B0CFE9" w14:textId="77777777" w:rsidR="00086EAE" w:rsidRPr="0054344B" w:rsidRDefault="00086EAE" w:rsidP="00086EAE">
      <w:pPr>
        <w:widowControl w:val="0"/>
        <w:autoSpaceDE w:val="0"/>
        <w:autoSpaceDN w:val="0"/>
        <w:adjustRightInd w:val="0"/>
        <w:jc w:val="both"/>
        <w:rPr>
          <w:sz w:val="16"/>
          <w:szCs w:val="16"/>
        </w:rPr>
      </w:pPr>
    </w:p>
    <w:p w14:paraId="4424FC94" w14:textId="77777777" w:rsidR="00086EAE" w:rsidRPr="0054344B" w:rsidRDefault="00086EAE" w:rsidP="00086EAE">
      <w:pPr>
        <w:widowControl w:val="0"/>
        <w:autoSpaceDE w:val="0"/>
        <w:autoSpaceDN w:val="0"/>
        <w:adjustRightInd w:val="0"/>
        <w:jc w:val="both"/>
        <w:rPr>
          <w:sz w:val="16"/>
          <w:szCs w:val="16"/>
        </w:rPr>
      </w:pPr>
    </w:p>
    <w:p w14:paraId="59FA98EC" w14:textId="77777777" w:rsidR="00086EAE" w:rsidRPr="0054344B" w:rsidRDefault="00086EAE" w:rsidP="00086EAE">
      <w:pPr>
        <w:widowControl w:val="0"/>
        <w:autoSpaceDE w:val="0"/>
        <w:autoSpaceDN w:val="0"/>
        <w:adjustRightInd w:val="0"/>
        <w:jc w:val="both"/>
        <w:rPr>
          <w:sz w:val="16"/>
          <w:szCs w:val="16"/>
        </w:rPr>
      </w:pPr>
    </w:p>
    <w:p w14:paraId="7DC989CB" w14:textId="77777777" w:rsidR="00086EAE" w:rsidRPr="0054344B" w:rsidRDefault="00086EAE" w:rsidP="00086EAE">
      <w:pPr>
        <w:widowControl w:val="0"/>
        <w:autoSpaceDE w:val="0"/>
        <w:autoSpaceDN w:val="0"/>
        <w:adjustRightInd w:val="0"/>
        <w:jc w:val="both"/>
        <w:rPr>
          <w:sz w:val="16"/>
          <w:szCs w:val="16"/>
        </w:rPr>
      </w:pPr>
    </w:p>
    <w:p w14:paraId="37B83ED0" w14:textId="77777777" w:rsidR="00086EAE" w:rsidRPr="0054344B" w:rsidRDefault="00086EAE" w:rsidP="00086EAE">
      <w:pPr>
        <w:widowControl w:val="0"/>
        <w:autoSpaceDE w:val="0"/>
        <w:autoSpaceDN w:val="0"/>
        <w:adjustRightInd w:val="0"/>
        <w:jc w:val="both"/>
        <w:rPr>
          <w:sz w:val="16"/>
          <w:szCs w:val="16"/>
        </w:rPr>
      </w:pPr>
    </w:p>
    <w:p w14:paraId="324E7406" w14:textId="77777777" w:rsidR="00086EAE" w:rsidRPr="0054344B" w:rsidRDefault="00086EAE" w:rsidP="00086EAE">
      <w:pPr>
        <w:widowControl w:val="0"/>
        <w:autoSpaceDE w:val="0"/>
        <w:autoSpaceDN w:val="0"/>
        <w:adjustRightInd w:val="0"/>
        <w:jc w:val="both"/>
        <w:rPr>
          <w:sz w:val="16"/>
          <w:szCs w:val="16"/>
        </w:rPr>
      </w:pPr>
    </w:p>
    <w:p w14:paraId="06C5E871" w14:textId="77777777" w:rsidR="00086EAE" w:rsidRPr="0054344B" w:rsidRDefault="00086EAE" w:rsidP="00086EAE">
      <w:pPr>
        <w:widowControl w:val="0"/>
        <w:autoSpaceDE w:val="0"/>
        <w:autoSpaceDN w:val="0"/>
        <w:adjustRightInd w:val="0"/>
        <w:jc w:val="both"/>
        <w:rPr>
          <w:sz w:val="16"/>
          <w:szCs w:val="16"/>
        </w:rPr>
      </w:pPr>
    </w:p>
    <w:p w14:paraId="7172FDDB" w14:textId="77777777" w:rsidR="00086EAE" w:rsidRPr="0054344B" w:rsidRDefault="00086EAE" w:rsidP="00086EAE">
      <w:pPr>
        <w:widowControl w:val="0"/>
        <w:autoSpaceDE w:val="0"/>
        <w:autoSpaceDN w:val="0"/>
        <w:adjustRightInd w:val="0"/>
        <w:jc w:val="both"/>
        <w:rPr>
          <w:sz w:val="16"/>
          <w:szCs w:val="16"/>
        </w:rPr>
      </w:pPr>
    </w:p>
    <w:p w14:paraId="6381AD59" w14:textId="77777777" w:rsidR="00086EAE" w:rsidRPr="0054344B" w:rsidRDefault="00086EAE" w:rsidP="00086EAE">
      <w:pPr>
        <w:widowControl w:val="0"/>
        <w:autoSpaceDE w:val="0"/>
        <w:autoSpaceDN w:val="0"/>
        <w:adjustRightInd w:val="0"/>
        <w:jc w:val="both"/>
        <w:rPr>
          <w:sz w:val="16"/>
          <w:szCs w:val="16"/>
        </w:rPr>
      </w:pPr>
    </w:p>
    <w:p w14:paraId="00E413AA" w14:textId="77777777" w:rsidR="00086EAE" w:rsidRPr="0054344B" w:rsidRDefault="00086EAE" w:rsidP="00086EAE">
      <w:pPr>
        <w:widowControl w:val="0"/>
        <w:autoSpaceDE w:val="0"/>
        <w:autoSpaceDN w:val="0"/>
        <w:adjustRightInd w:val="0"/>
        <w:jc w:val="both"/>
        <w:rPr>
          <w:sz w:val="16"/>
          <w:szCs w:val="16"/>
        </w:rPr>
      </w:pPr>
    </w:p>
    <w:p w14:paraId="48D31C8D" w14:textId="77777777" w:rsidR="00086EAE" w:rsidRPr="0054344B" w:rsidRDefault="00086EAE" w:rsidP="00086EAE">
      <w:pPr>
        <w:widowControl w:val="0"/>
        <w:autoSpaceDE w:val="0"/>
        <w:autoSpaceDN w:val="0"/>
        <w:adjustRightInd w:val="0"/>
        <w:jc w:val="both"/>
        <w:rPr>
          <w:sz w:val="16"/>
          <w:szCs w:val="16"/>
        </w:rPr>
      </w:pPr>
    </w:p>
    <w:p w14:paraId="65FB251D" w14:textId="77777777" w:rsidR="00086EAE" w:rsidRPr="0054344B" w:rsidRDefault="00086EAE" w:rsidP="00086EAE">
      <w:pPr>
        <w:rPr>
          <w:b/>
        </w:rPr>
      </w:pPr>
      <w:r w:rsidRPr="0054344B">
        <w:rPr>
          <w:b/>
        </w:rPr>
        <w:lastRenderedPageBreak/>
        <w:t>Table 6: The Pre</w:t>
      </w:r>
      <w:r w:rsidR="00192E1F" w:rsidRPr="0054344B">
        <w:rPr>
          <w:b/>
        </w:rPr>
        <w:t xml:space="preserve">- and </w:t>
      </w:r>
      <w:r w:rsidRPr="0054344B">
        <w:rPr>
          <w:b/>
        </w:rPr>
        <w:t>Post</w:t>
      </w:r>
      <w:r w:rsidR="004F6DAD" w:rsidRPr="0054344B">
        <w:rPr>
          <w:b/>
        </w:rPr>
        <w:t>-f</w:t>
      </w:r>
      <w:r w:rsidRPr="0054344B">
        <w:rPr>
          <w:b/>
        </w:rPr>
        <w:t>inancial Crisis Effects on Tobin’s Q</w:t>
      </w:r>
    </w:p>
    <w:p w14:paraId="6ECBB14F" w14:textId="77777777" w:rsidR="00086EAE" w:rsidRPr="0054344B" w:rsidRDefault="00086EAE" w:rsidP="00086EAE">
      <w:pPr>
        <w:jc w:val="center"/>
        <w:rPr>
          <w:b/>
        </w:rPr>
      </w:pPr>
    </w:p>
    <w:tbl>
      <w:tblPr>
        <w:tblW w:w="0" w:type="auto"/>
        <w:tblLayout w:type="fixed"/>
        <w:tblLook w:val="0000" w:firstRow="0" w:lastRow="0" w:firstColumn="0" w:lastColumn="0" w:noHBand="0" w:noVBand="0"/>
      </w:tblPr>
      <w:tblGrid>
        <w:gridCol w:w="1656"/>
        <w:gridCol w:w="2016"/>
        <w:gridCol w:w="2016"/>
      </w:tblGrid>
      <w:tr w:rsidR="00086EAE" w:rsidRPr="0054344B" w14:paraId="702CCAB4" w14:textId="77777777" w:rsidTr="00086EAE">
        <w:tc>
          <w:tcPr>
            <w:tcW w:w="1656" w:type="dxa"/>
            <w:tcBorders>
              <w:top w:val="single" w:sz="4" w:space="0" w:color="auto"/>
              <w:left w:val="nil"/>
              <w:bottom w:val="nil"/>
              <w:right w:val="nil"/>
            </w:tcBorders>
          </w:tcPr>
          <w:p w14:paraId="175E137F" w14:textId="77777777" w:rsidR="00086EAE" w:rsidRPr="0054344B" w:rsidRDefault="00086EAE" w:rsidP="00086EAE">
            <w:pPr>
              <w:widowControl w:val="0"/>
              <w:autoSpaceDE w:val="0"/>
              <w:autoSpaceDN w:val="0"/>
              <w:adjustRightInd w:val="0"/>
              <w:jc w:val="center"/>
            </w:pPr>
          </w:p>
        </w:tc>
        <w:tc>
          <w:tcPr>
            <w:tcW w:w="2016" w:type="dxa"/>
            <w:tcBorders>
              <w:top w:val="single" w:sz="4" w:space="0" w:color="auto"/>
              <w:left w:val="nil"/>
              <w:bottom w:val="nil"/>
              <w:right w:val="nil"/>
            </w:tcBorders>
          </w:tcPr>
          <w:p w14:paraId="0F1EA2EA" w14:textId="77777777" w:rsidR="00086EAE" w:rsidRPr="0054344B" w:rsidRDefault="00086EAE" w:rsidP="00086EAE">
            <w:pPr>
              <w:widowControl w:val="0"/>
              <w:autoSpaceDE w:val="0"/>
              <w:autoSpaceDN w:val="0"/>
              <w:adjustRightInd w:val="0"/>
              <w:jc w:val="center"/>
            </w:pPr>
            <w:r w:rsidRPr="0054344B">
              <w:t>(Pre-Crisis)</w:t>
            </w:r>
          </w:p>
        </w:tc>
        <w:tc>
          <w:tcPr>
            <w:tcW w:w="2016" w:type="dxa"/>
            <w:tcBorders>
              <w:top w:val="single" w:sz="4" w:space="0" w:color="auto"/>
              <w:left w:val="nil"/>
              <w:bottom w:val="nil"/>
              <w:right w:val="nil"/>
            </w:tcBorders>
          </w:tcPr>
          <w:p w14:paraId="255CB231" w14:textId="77777777" w:rsidR="00086EAE" w:rsidRPr="0054344B" w:rsidRDefault="00086EAE" w:rsidP="00086EAE">
            <w:pPr>
              <w:widowControl w:val="0"/>
              <w:autoSpaceDE w:val="0"/>
              <w:autoSpaceDN w:val="0"/>
              <w:adjustRightInd w:val="0"/>
              <w:jc w:val="center"/>
            </w:pPr>
            <w:r w:rsidRPr="0054344B">
              <w:t>(Post-Crisis)</w:t>
            </w:r>
          </w:p>
        </w:tc>
      </w:tr>
      <w:tr w:rsidR="00086EAE" w:rsidRPr="0054344B" w14:paraId="0DD485AA" w14:textId="77777777" w:rsidTr="00086EAE">
        <w:tc>
          <w:tcPr>
            <w:tcW w:w="1656" w:type="dxa"/>
            <w:tcBorders>
              <w:top w:val="nil"/>
              <w:left w:val="nil"/>
              <w:bottom w:val="nil"/>
              <w:right w:val="nil"/>
            </w:tcBorders>
          </w:tcPr>
          <w:p w14:paraId="0169517B" w14:textId="77777777" w:rsidR="00086EAE" w:rsidRPr="0054344B" w:rsidRDefault="00086EAE" w:rsidP="00086EAE">
            <w:pPr>
              <w:widowControl w:val="0"/>
              <w:autoSpaceDE w:val="0"/>
              <w:autoSpaceDN w:val="0"/>
              <w:adjustRightInd w:val="0"/>
              <w:jc w:val="center"/>
            </w:pPr>
          </w:p>
        </w:tc>
        <w:tc>
          <w:tcPr>
            <w:tcW w:w="2016" w:type="dxa"/>
            <w:tcBorders>
              <w:top w:val="nil"/>
              <w:left w:val="nil"/>
              <w:bottom w:val="nil"/>
              <w:right w:val="nil"/>
            </w:tcBorders>
          </w:tcPr>
          <w:p w14:paraId="4067995A" w14:textId="77777777" w:rsidR="00086EAE" w:rsidRPr="0054344B" w:rsidRDefault="00086EAE" w:rsidP="00086EAE">
            <w:pPr>
              <w:widowControl w:val="0"/>
              <w:autoSpaceDE w:val="0"/>
              <w:autoSpaceDN w:val="0"/>
              <w:adjustRightInd w:val="0"/>
              <w:jc w:val="center"/>
            </w:pPr>
            <w:r w:rsidRPr="0054344B">
              <w:t>Tobin’s Q</w:t>
            </w:r>
          </w:p>
        </w:tc>
        <w:tc>
          <w:tcPr>
            <w:tcW w:w="2016" w:type="dxa"/>
            <w:tcBorders>
              <w:top w:val="nil"/>
              <w:left w:val="nil"/>
              <w:bottom w:val="nil"/>
              <w:right w:val="nil"/>
            </w:tcBorders>
          </w:tcPr>
          <w:p w14:paraId="6172D7FA" w14:textId="77777777" w:rsidR="00086EAE" w:rsidRPr="0054344B" w:rsidRDefault="00086EAE" w:rsidP="00086EAE">
            <w:pPr>
              <w:widowControl w:val="0"/>
              <w:autoSpaceDE w:val="0"/>
              <w:autoSpaceDN w:val="0"/>
              <w:adjustRightInd w:val="0"/>
              <w:jc w:val="center"/>
            </w:pPr>
            <w:r w:rsidRPr="0054344B">
              <w:t>Tobin’s Q</w:t>
            </w:r>
          </w:p>
        </w:tc>
      </w:tr>
      <w:tr w:rsidR="00086EAE" w:rsidRPr="0054344B" w14:paraId="2D586D75" w14:textId="77777777" w:rsidTr="00086EAE">
        <w:tc>
          <w:tcPr>
            <w:tcW w:w="1656" w:type="dxa"/>
            <w:tcBorders>
              <w:top w:val="single" w:sz="4" w:space="0" w:color="auto"/>
              <w:left w:val="nil"/>
              <w:bottom w:val="nil"/>
              <w:right w:val="nil"/>
            </w:tcBorders>
          </w:tcPr>
          <w:p w14:paraId="2D187731" w14:textId="77777777" w:rsidR="00086EAE" w:rsidRPr="0054344B" w:rsidRDefault="00086EAE" w:rsidP="00086EAE">
            <w:pPr>
              <w:widowControl w:val="0"/>
              <w:autoSpaceDE w:val="0"/>
              <w:autoSpaceDN w:val="0"/>
              <w:adjustRightInd w:val="0"/>
            </w:pPr>
          </w:p>
          <w:p w14:paraId="1EA161A1" w14:textId="77777777" w:rsidR="00086EAE" w:rsidRPr="0054344B" w:rsidRDefault="003673A0" w:rsidP="00086EAE">
            <w:pPr>
              <w:widowControl w:val="0"/>
              <w:autoSpaceDE w:val="0"/>
              <w:autoSpaceDN w:val="0"/>
              <w:adjustRightInd w:val="0"/>
            </w:pPr>
            <w:r w:rsidRPr="0054344B">
              <w:t>AC</w:t>
            </w:r>
          </w:p>
        </w:tc>
        <w:tc>
          <w:tcPr>
            <w:tcW w:w="2016" w:type="dxa"/>
            <w:tcBorders>
              <w:top w:val="single" w:sz="4" w:space="0" w:color="auto"/>
              <w:left w:val="nil"/>
              <w:bottom w:val="nil"/>
              <w:right w:val="nil"/>
            </w:tcBorders>
          </w:tcPr>
          <w:p w14:paraId="302B1443" w14:textId="77777777" w:rsidR="00086EAE" w:rsidRPr="0054344B" w:rsidRDefault="00086EAE" w:rsidP="00086EAE">
            <w:pPr>
              <w:widowControl w:val="0"/>
              <w:autoSpaceDE w:val="0"/>
              <w:autoSpaceDN w:val="0"/>
              <w:adjustRightInd w:val="0"/>
              <w:jc w:val="center"/>
            </w:pPr>
          </w:p>
          <w:p w14:paraId="7FB51FB5" w14:textId="77777777" w:rsidR="00086EAE" w:rsidRPr="0054344B" w:rsidRDefault="00086EAE" w:rsidP="00086EAE">
            <w:pPr>
              <w:widowControl w:val="0"/>
              <w:autoSpaceDE w:val="0"/>
              <w:autoSpaceDN w:val="0"/>
              <w:adjustRightInd w:val="0"/>
              <w:jc w:val="center"/>
            </w:pPr>
            <w:r w:rsidRPr="0054344B">
              <w:t>7.624</w:t>
            </w:r>
            <w:r w:rsidRPr="0054344B">
              <w:rPr>
                <w:vertAlign w:val="superscript"/>
              </w:rPr>
              <w:t>***</w:t>
            </w:r>
          </w:p>
        </w:tc>
        <w:tc>
          <w:tcPr>
            <w:tcW w:w="2016" w:type="dxa"/>
            <w:tcBorders>
              <w:top w:val="single" w:sz="4" w:space="0" w:color="auto"/>
              <w:left w:val="nil"/>
              <w:bottom w:val="nil"/>
              <w:right w:val="nil"/>
            </w:tcBorders>
          </w:tcPr>
          <w:p w14:paraId="628E6CFF" w14:textId="77777777" w:rsidR="00086EAE" w:rsidRPr="0054344B" w:rsidRDefault="00086EAE" w:rsidP="00086EAE">
            <w:pPr>
              <w:widowControl w:val="0"/>
              <w:autoSpaceDE w:val="0"/>
              <w:autoSpaceDN w:val="0"/>
              <w:adjustRightInd w:val="0"/>
              <w:jc w:val="center"/>
            </w:pPr>
          </w:p>
          <w:p w14:paraId="0CF8516D" w14:textId="77777777" w:rsidR="00086EAE" w:rsidRPr="0054344B" w:rsidRDefault="00086EAE" w:rsidP="00086EAE">
            <w:pPr>
              <w:widowControl w:val="0"/>
              <w:autoSpaceDE w:val="0"/>
              <w:autoSpaceDN w:val="0"/>
              <w:adjustRightInd w:val="0"/>
              <w:jc w:val="center"/>
            </w:pPr>
            <w:r w:rsidRPr="0054344B">
              <w:t>-1.117</w:t>
            </w:r>
          </w:p>
        </w:tc>
      </w:tr>
      <w:tr w:rsidR="00086EAE" w:rsidRPr="0054344B" w14:paraId="56AD99C6" w14:textId="77777777" w:rsidTr="00086EAE">
        <w:tc>
          <w:tcPr>
            <w:tcW w:w="1656" w:type="dxa"/>
            <w:tcBorders>
              <w:top w:val="nil"/>
              <w:left w:val="nil"/>
              <w:bottom w:val="nil"/>
              <w:right w:val="nil"/>
            </w:tcBorders>
          </w:tcPr>
          <w:p w14:paraId="346BF773" w14:textId="77777777" w:rsidR="00086EAE" w:rsidRPr="0054344B" w:rsidRDefault="00086EAE" w:rsidP="00086EAE">
            <w:pPr>
              <w:widowControl w:val="0"/>
              <w:autoSpaceDE w:val="0"/>
              <w:autoSpaceDN w:val="0"/>
              <w:adjustRightInd w:val="0"/>
            </w:pPr>
          </w:p>
        </w:tc>
        <w:tc>
          <w:tcPr>
            <w:tcW w:w="2016" w:type="dxa"/>
            <w:tcBorders>
              <w:top w:val="nil"/>
              <w:left w:val="nil"/>
              <w:bottom w:val="nil"/>
              <w:right w:val="nil"/>
            </w:tcBorders>
          </w:tcPr>
          <w:p w14:paraId="2D00B75E" w14:textId="77777777" w:rsidR="00086EAE" w:rsidRPr="0054344B" w:rsidRDefault="00086EAE" w:rsidP="00086EAE">
            <w:pPr>
              <w:widowControl w:val="0"/>
              <w:autoSpaceDE w:val="0"/>
              <w:autoSpaceDN w:val="0"/>
              <w:adjustRightInd w:val="0"/>
              <w:jc w:val="center"/>
            </w:pPr>
            <w:r w:rsidRPr="0054344B">
              <w:t>(0.00)</w:t>
            </w:r>
          </w:p>
        </w:tc>
        <w:tc>
          <w:tcPr>
            <w:tcW w:w="2016" w:type="dxa"/>
            <w:tcBorders>
              <w:top w:val="nil"/>
              <w:left w:val="nil"/>
              <w:bottom w:val="nil"/>
              <w:right w:val="nil"/>
            </w:tcBorders>
          </w:tcPr>
          <w:p w14:paraId="0F875AA8" w14:textId="77777777" w:rsidR="00086EAE" w:rsidRPr="0054344B" w:rsidRDefault="00086EAE" w:rsidP="00086EAE">
            <w:pPr>
              <w:widowControl w:val="0"/>
              <w:autoSpaceDE w:val="0"/>
              <w:autoSpaceDN w:val="0"/>
              <w:adjustRightInd w:val="0"/>
              <w:jc w:val="center"/>
            </w:pPr>
            <w:r w:rsidRPr="0054344B">
              <w:t>(0.65)</w:t>
            </w:r>
          </w:p>
        </w:tc>
      </w:tr>
      <w:tr w:rsidR="00086EAE" w:rsidRPr="0054344B" w14:paraId="7E2CD39F" w14:textId="77777777" w:rsidTr="00086EAE">
        <w:tc>
          <w:tcPr>
            <w:tcW w:w="1656" w:type="dxa"/>
            <w:tcBorders>
              <w:top w:val="nil"/>
              <w:left w:val="nil"/>
              <w:bottom w:val="nil"/>
              <w:right w:val="nil"/>
            </w:tcBorders>
          </w:tcPr>
          <w:p w14:paraId="5CF12A5A" w14:textId="77777777" w:rsidR="00086EAE" w:rsidRPr="0054344B" w:rsidRDefault="00086EAE" w:rsidP="00086EAE">
            <w:pPr>
              <w:widowControl w:val="0"/>
              <w:autoSpaceDE w:val="0"/>
              <w:autoSpaceDN w:val="0"/>
              <w:adjustRightInd w:val="0"/>
            </w:pPr>
            <w:r w:rsidRPr="0054344B">
              <w:t>GR</w:t>
            </w:r>
            <w:r w:rsidR="003673A0" w:rsidRPr="0054344B">
              <w:t>OWTH</w:t>
            </w:r>
          </w:p>
        </w:tc>
        <w:tc>
          <w:tcPr>
            <w:tcW w:w="2016" w:type="dxa"/>
            <w:tcBorders>
              <w:top w:val="nil"/>
              <w:left w:val="nil"/>
              <w:bottom w:val="nil"/>
              <w:right w:val="nil"/>
            </w:tcBorders>
          </w:tcPr>
          <w:p w14:paraId="2AF2AE57" w14:textId="77777777" w:rsidR="00086EAE" w:rsidRPr="0054344B" w:rsidRDefault="00086EAE" w:rsidP="00086EAE">
            <w:pPr>
              <w:widowControl w:val="0"/>
              <w:autoSpaceDE w:val="0"/>
              <w:autoSpaceDN w:val="0"/>
              <w:adjustRightInd w:val="0"/>
              <w:jc w:val="center"/>
            </w:pPr>
            <w:r w:rsidRPr="0054344B">
              <w:t>-0.094</w:t>
            </w:r>
          </w:p>
        </w:tc>
        <w:tc>
          <w:tcPr>
            <w:tcW w:w="2016" w:type="dxa"/>
            <w:tcBorders>
              <w:top w:val="nil"/>
              <w:left w:val="nil"/>
              <w:bottom w:val="nil"/>
              <w:right w:val="nil"/>
            </w:tcBorders>
          </w:tcPr>
          <w:p w14:paraId="3B170BCF" w14:textId="77777777" w:rsidR="00086EAE" w:rsidRPr="0054344B" w:rsidRDefault="00086EAE" w:rsidP="00086EAE">
            <w:pPr>
              <w:widowControl w:val="0"/>
              <w:autoSpaceDE w:val="0"/>
              <w:autoSpaceDN w:val="0"/>
              <w:adjustRightInd w:val="0"/>
              <w:jc w:val="center"/>
            </w:pPr>
            <w:r w:rsidRPr="0054344B">
              <w:t>-2.380</w:t>
            </w:r>
          </w:p>
        </w:tc>
      </w:tr>
      <w:tr w:rsidR="00086EAE" w:rsidRPr="0054344B" w14:paraId="3B7D1477" w14:textId="77777777" w:rsidTr="00086EAE">
        <w:tc>
          <w:tcPr>
            <w:tcW w:w="1656" w:type="dxa"/>
            <w:tcBorders>
              <w:top w:val="nil"/>
              <w:left w:val="nil"/>
              <w:bottom w:val="nil"/>
              <w:right w:val="nil"/>
            </w:tcBorders>
          </w:tcPr>
          <w:p w14:paraId="18BF6949" w14:textId="77777777" w:rsidR="00086EAE" w:rsidRPr="0054344B" w:rsidRDefault="00086EAE" w:rsidP="00086EAE">
            <w:pPr>
              <w:widowControl w:val="0"/>
              <w:autoSpaceDE w:val="0"/>
              <w:autoSpaceDN w:val="0"/>
              <w:adjustRightInd w:val="0"/>
            </w:pPr>
          </w:p>
        </w:tc>
        <w:tc>
          <w:tcPr>
            <w:tcW w:w="2016" w:type="dxa"/>
            <w:tcBorders>
              <w:top w:val="nil"/>
              <w:left w:val="nil"/>
              <w:bottom w:val="nil"/>
              <w:right w:val="nil"/>
            </w:tcBorders>
          </w:tcPr>
          <w:p w14:paraId="0236C601" w14:textId="77777777" w:rsidR="00086EAE" w:rsidRPr="0054344B" w:rsidRDefault="00086EAE" w:rsidP="00086EAE">
            <w:pPr>
              <w:widowControl w:val="0"/>
              <w:autoSpaceDE w:val="0"/>
              <w:autoSpaceDN w:val="0"/>
              <w:adjustRightInd w:val="0"/>
              <w:jc w:val="center"/>
            </w:pPr>
            <w:r w:rsidRPr="0054344B">
              <w:t>(0.88)</w:t>
            </w:r>
          </w:p>
        </w:tc>
        <w:tc>
          <w:tcPr>
            <w:tcW w:w="2016" w:type="dxa"/>
            <w:tcBorders>
              <w:top w:val="nil"/>
              <w:left w:val="nil"/>
              <w:bottom w:val="nil"/>
              <w:right w:val="nil"/>
            </w:tcBorders>
          </w:tcPr>
          <w:p w14:paraId="0A56B57C" w14:textId="77777777" w:rsidR="00086EAE" w:rsidRPr="0054344B" w:rsidRDefault="00086EAE" w:rsidP="00086EAE">
            <w:pPr>
              <w:widowControl w:val="0"/>
              <w:autoSpaceDE w:val="0"/>
              <w:autoSpaceDN w:val="0"/>
              <w:adjustRightInd w:val="0"/>
              <w:jc w:val="center"/>
            </w:pPr>
            <w:r w:rsidRPr="0054344B">
              <w:t>(0.11)</w:t>
            </w:r>
          </w:p>
        </w:tc>
      </w:tr>
      <w:tr w:rsidR="00086EAE" w:rsidRPr="0054344B" w14:paraId="46790F8F" w14:textId="77777777" w:rsidTr="00086EAE">
        <w:tc>
          <w:tcPr>
            <w:tcW w:w="1656" w:type="dxa"/>
            <w:tcBorders>
              <w:top w:val="nil"/>
              <w:left w:val="nil"/>
              <w:bottom w:val="nil"/>
              <w:right w:val="nil"/>
            </w:tcBorders>
          </w:tcPr>
          <w:p w14:paraId="4886EF77" w14:textId="77777777" w:rsidR="00086EAE" w:rsidRPr="0054344B" w:rsidRDefault="00086EAE" w:rsidP="00086EAE">
            <w:pPr>
              <w:widowControl w:val="0"/>
              <w:autoSpaceDE w:val="0"/>
              <w:autoSpaceDN w:val="0"/>
              <w:adjustRightInd w:val="0"/>
            </w:pPr>
            <w:r w:rsidRPr="0054344B">
              <w:t>LEV</w:t>
            </w:r>
          </w:p>
        </w:tc>
        <w:tc>
          <w:tcPr>
            <w:tcW w:w="2016" w:type="dxa"/>
            <w:tcBorders>
              <w:top w:val="nil"/>
              <w:left w:val="nil"/>
              <w:bottom w:val="nil"/>
              <w:right w:val="nil"/>
            </w:tcBorders>
          </w:tcPr>
          <w:p w14:paraId="7B9D7567" w14:textId="77777777" w:rsidR="00086EAE" w:rsidRPr="0054344B" w:rsidRDefault="00086EAE" w:rsidP="00086EAE">
            <w:pPr>
              <w:widowControl w:val="0"/>
              <w:autoSpaceDE w:val="0"/>
              <w:autoSpaceDN w:val="0"/>
              <w:adjustRightInd w:val="0"/>
              <w:jc w:val="center"/>
            </w:pPr>
            <w:r w:rsidRPr="0054344B">
              <w:t>0.089</w:t>
            </w:r>
          </w:p>
        </w:tc>
        <w:tc>
          <w:tcPr>
            <w:tcW w:w="2016" w:type="dxa"/>
            <w:tcBorders>
              <w:top w:val="nil"/>
              <w:left w:val="nil"/>
              <w:bottom w:val="nil"/>
              <w:right w:val="nil"/>
            </w:tcBorders>
          </w:tcPr>
          <w:p w14:paraId="62ADF411" w14:textId="77777777" w:rsidR="00086EAE" w:rsidRPr="0054344B" w:rsidRDefault="00086EAE" w:rsidP="00086EAE">
            <w:pPr>
              <w:widowControl w:val="0"/>
              <w:autoSpaceDE w:val="0"/>
              <w:autoSpaceDN w:val="0"/>
              <w:adjustRightInd w:val="0"/>
              <w:jc w:val="center"/>
            </w:pPr>
            <w:r w:rsidRPr="0054344B">
              <w:t>-0.189</w:t>
            </w:r>
          </w:p>
        </w:tc>
      </w:tr>
      <w:tr w:rsidR="00086EAE" w:rsidRPr="0054344B" w14:paraId="692B596B" w14:textId="77777777" w:rsidTr="00086EAE">
        <w:tc>
          <w:tcPr>
            <w:tcW w:w="1656" w:type="dxa"/>
            <w:tcBorders>
              <w:top w:val="nil"/>
              <w:left w:val="nil"/>
              <w:bottom w:val="nil"/>
              <w:right w:val="nil"/>
            </w:tcBorders>
          </w:tcPr>
          <w:p w14:paraId="2D56C38E" w14:textId="77777777" w:rsidR="00086EAE" w:rsidRPr="0054344B" w:rsidRDefault="00086EAE" w:rsidP="00086EAE">
            <w:pPr>
              <w:widowControl w:val="0"/>
              <w:autoSpaceDE w:val="0"/>
              <w:autoSpaceDN w:val="0"/>
              <w:adjustRightInd w:val="0"/>
            </w:pPr>
          </w:p>
        </w:tc>
        <w:tc>
          <w:tcPr>
            <w:tcW w:w="2016" w:type="dxa"/>
            <w:tcBorders>
              <w:top w:val="nil"/>
              <w:left w:val="nil"/>
              <w:bottom w:val="nil"/>
              <w:right w:val="nil"/>
            </w:tcBorders>
          </w:tcPr>
          <w:p w14:paraId="7498F9EC" w14:textId="77777777" w:rsidR="00086EAE" w:rsidRPr="0054344B" w:rsidRDefault="00086EAE" w:rsidP="00086EAE">
            <w:pPr>
              <w:widowControl w:val="0"/>
              <w:autoSpaceDE w:val="0"/>
              <w:autoSpaceDN w:val="0"/>
              <w:adjustRightInd w:val="0"/>
              <w:jc w:val="center"/>
            </w:pPr>
            <w:r w:rsidRPr="0054344B">
              <w:t>(0.66)</w:t>
            </w:r>
          </w:p>
        </w:tc>
        <w:tc>
          <w:tcPr>
            <w:tcW w:w="2016" w:type="dxa"/>
            <w:tcBorders>
              <w:top w:val="nil"/>
              <w:left w:val="nil"/>
              <w:bottom w:val="nil"/>
              <w:right w:val="nil"/>
            </w:tcBorders>
          </w:tcPr>
          <w:p w14:paraId="2BB8BCAF" w14:textId="77777777" w:rsidR="00086EAE" w:rsidRPr="0054344B" w:rsidRDefault="00086EAE" w:rsidP="00086EAE">
            <w:pPr>
              <w:widowControl w:val="0"/>
              <w:autoSpaceDE w:val="0"/>
              <w:autoSpaceDN w:val="0"/>
              <w:adjustRightInd w:val="0"/>
              <w:jc w:val="center"/>
            </w:pPr>
            <w:r w:rsidRPr="0054344B">
              <w:t>(0.62)</w:t>
            </w:r>
          </w:p>
        </w:tc>
      </w:tr>
      <w:tr w:rsidR="00086EAE" w:rsidRPr="0054344B" w14:paraId="701D8CB7" w14:textId="77777777" w:rsidTr="00086EAE">
        <w:tc>
          <w:tcPr>
            <w:tcW w:w="1656" w:type="dxa"/>
            <w:tcBorders>
              <w:top w:val="nil"/>
              <w:left w:val="nil"/>
              <w:bottom w:val="nil"/>
              <w:right w:val="nil"/>
            </w:tcBorders>
          </w:tcPr>
          <w:p w14:paraId="3F124187" w14:textId="77777777" w:rsidR="00086EAE" w:rsidRPr="0054344B" w:rsidRDefault="00086EAE" w:rsidP="00086EAE">
            <w:pPr>
              <w:widowControl w:val="0"/>
              <w:autoSpaceDE w:val="0"/>
              <w:autoSpaceDN w:val="0"/>
              <w:adjustRightInd w:val="0"/>
            </w:pPr>
            <w:r w:rsidRPr="0054344B">
              <w:t>FSIZE</w:t>
            </w:r>
          </w:p>
        </w:tc>
        <w:tc>
          <w:tcPr>
            <w:tcW w:w="2016" w:type="dxa"/>
            <w:tcBorders>
              <w:top w:val="nil"/>
              <w:left w:val="nil"/>
              <w:bottom w:val="nil"/>
              <w:right w:val="nil"/>
            </w:tcBorders>
          </w:tcPr>
          <w:p w14:paraId="3A68A1D9" w14:textId="77777777" w:rsidR="00086EAE" w:rsidRPr="0054344B" w:rsidRDefault="00086EAE" w:rsidP="00086EAE">
            <w:pPr>
              <w:widowControl w:val="0"/>
              <w:autoSpaceDE w:val="0"/>
              <w:autoSpaceDN w:val="0"/>
              <w:adjustRightInd w:val="0"/>
              <w:jc w:val="center"/>
            </w:pPr>
            <w:r w:rsidRPr="0054344B">
              <w:t>-0.034</w:t>
            </w:r>
          </w:p>
        </w:tc>
        <w:tc>
          <w:tcPr>
            <w:tcW w:w="2016" w:type="dxa"/>
            <w:tcBorders>
              <w:top w:val="nil"/>
              <w:left w:val="nil"/>
              <w:bottom w:val="nil"/>
              <w:right w:val="nil"/>
            </w:tcBorders>
          </w:tcPr>
          <w:p w14:paraId="5B15D873" w14:textId="77777777" w:rsidR="00086EAE" w:rsidRPr="0054344B" w:rsidRDefault="00086EAE" w:rsidP="00086EAE">
            <w:pPr>
              <w:widowControl w:val="0"/>
              <w:autoSpaceDE w:val="0"/>
              <w:autoSpaceDN w:val="0"/>
              <w:adjustRightInd w:val="0"/>
              <w:jc w:val="center"/>
            </w:pPr>
            <w:r w:rsidRPr="0054344B">
              <w:t>-0.380</w:t>
            </w:r>
          </w:p>
        </w:tc>
      </w:tr>
      <w:tr w:rsidR="00086EAE" w:rsidRPr="0054344B" w14:paraId="6C323A0A" w14:textId="77777777" w:rsidTr="00086EAE">
        <w:tc>
          <w:tcPr>
            <w:tcW w:w="1656" w:type="dxa"/>
            <w:tcBorders>
              <w:top w:val="nil"/>
              <w:left w:val="nil"/>
              <w:bottom w:val="nil"/>
              <w:right w:val="nil"/>
            </w:tcBorders>
          </w:tcPr>
          <w:p w14:paraId="38AC399F" w14:textId="77777777" w:rsidR="00086EAE" w:rsidRPr="0054344B" w:rsidRDefault="00086EAE" w:rsidP="00086EAE">
            <w:pPr>
              <w:widowControl w:val="0"/>
              <w:autoSpaceDE w:val="0"/>
              <w:autoSpaceDN w:val="0"/>
              <w:adjustRightInd w:val="0"/>
            </w:pPr>
          </w:p>
        </w:tc>
        <w:tc>
          <w:tcPr>
            <w:tcW w:w="2016" w:type="dxa"/>
            <w:tcBorders>
              <w:top w:val="nil"/>
              <w:left w:val="nil"/>
              <w:bottom w:val="nil"/>
              <w:right w:val="nil"/>
            </w:tcBorders>
          </w:tcPr>
          <w:p w14:paraId="422B6D64" w14:textId="77777777" w:rsidR="00086EAE" w:rsidRPr="0054344B" w:rsidRDefault="00086EAE" w:rsidP="00086EAE">
            <w:pPr>
              <w:widowControl w:val="0"/>
              <w:autoSpaceDE w:val="0"/>
              <w:autoSpaceDN w:val="0"/>
              <w:adjustRightInd w:val="0"/>
              <w:jc w:val="center"/>
            </w:pPr>
            <w:r w:rsidRPr="0054344B">
              <w:t>(0.70)</w:t>
            </w:r>
          </w:p>
        </w:tc>
        <w:tc>
          <w:tcPr>
            <w:tcW w:w="2016" w:type="dxa"/>
            <w:tcBorders>
              <w:top w:val="nil"/>
              <w:left w:val="nil"/>
              <w:bottom w:val="nil"/>
              <w:right w:val="nil"/>
            </w:tcBorders>
          </w:tcPr>
          <w:p w14:paraId="17106CFF" w14:textId="77777777" w:rsidR="00086EAE" w:rsidRPr="0054344B" w:rsidRDefault="00086EAE" w:rsidP="00086EAE">
            <w:pPr>
              <w:widowControl w:val="0"/>
              <w:autoSpaceDE w:val="0"/>
              <w:autoSpaceDN w:val="0"/>
              <w:adjustRightInd w:val="0"/>
              <w:jc w:val="center"/>
            </w:pPr>
            <w:r w:rsidRPr="0054344B">
              <w:t>(0.10)</w:t>
            </w:r>
          </w:p>
        </w:tc>
      </w:tr>
      <w:tr w:rsidR="00086EAE" w:rsidRPr="0054344B" w14:paraId="0FDADF88" w14:textId="77777777" w:rsidTr="00086EAE">
        <w:tc>
          <w:tcPr>
            <w:tcW w:w="1656" w:type="dxa"/>
            <w:tcBorders>
              <w:top w:val="nil"/>
              <w:left w:val="nil"/>
              <w:bottom w:val="nil"/>
              <w:right w:val="nil"/>
            </w:tcBorders>
          </w:tcPr>
          <w:p w14:paraId="5DE995CE" w14:textId="77777777" w:rsidR="00086EAE" w:rsidRPr="0054344B" w:rsidRDefault="00086EAE" w:rsidP="00086EAE">
            <w:pPr>
              <w:widowControl w:val="0"/>
              <w:autoSpaceDE w:val="0"/>
              <w:autoSpaceDN w:val="0"/>
              <w:adjustRightInd w:val="0"/>
            </w:pPr>
            <w:r w:rsidRPr="0054344B">
              <w:t>BIG4</w:t>
            </w:r>
          </w:p>
        </w:tc>
        <w:tc>
          <w:tcPr>
            <w:tcW w:w="2016" w:type="dxa"/>
            <w:tcBorders>
              <w:top w:val="nil"/>
              <w:left w:val="nil"/>
              <w:bottom w:val="nil"/>
              <w:right w:val="nil"/>
            </w:tcBorders>
          </w:tcPr>
          <w:p w14:paraId="6524E98F" w14:textId="77777777" w:rsidR="00086EAE" w:rsidRPr="0054344B" w:rsidRDefault="00086EAE" w:rsidP="00086EAE">
            <w:pPr>
              <w:widowControl w:val="0"/>
              <w:autoSpaceDE w:val="0"/>
              <w:autoSpaceDN w:val="0"/>
              <w:adjustRightInd w:val="0"/>
              <w:jc w:val="center"/>
            </w:pPr>
            <w:r w:rsidRPr="0054344B">
              <w:t>-0.887</w:t>
            </w:r>
          </w:p>
        </w:tc>
        <w:tc>
          <w:tcPr>
            <w:tcW w:w="2016" w:type="dxa"/>
            <w:tcBorders>
              <w:top w:val="nil"/>
              <w:left w:val="nil"/>
              <w:bottom w:val="nil"/>
              <w:right w:val="nil"/>
            </w:tcBorders>
          </w:tcPr>
          <w:p w14:paraId="5420F81A" w14:textId="77777777" w:rsidR="00086EAE" w:rsidRPr="0054344B" w:rsidRDefault="00086EAE" w:rsidP="00086EAE">
            <w:pPr>
              <w:widowControl w:val="0"/>
              <w:autoSpaceDE w:val="0"/>
              <w:autoSpaceDN w:val="0"/>
              <w:adjustRightInd w:val="0"/>
              <w:jc w:val="center"/>
            </w:pPr>
            <w:r w:rsidRPr="0054344B">
              <w:t>-8.898</w:t>
            </w:r>
            <w:r w:rsidRPr="0054344B">
              <w:rPr>
                <w:vertAlign w:val="superscript"/>
              </w:rPr>
              <w:t>*</w:t>
            </w:r>
          </w:p>
        </w:tc>
      </w:tr>
      <w:tr w:rsidR="00086EAE" w:rsidRPr="0054344B" w14:paraId="5D58FAE2" w14:textId="77777777" w:rsidTr="00086EAE">
        <w:tc>
          <w:tcPr>
            <w:tcW w:w="1656" w:type="dxa"/>
            <w:tcBorders>
              <w:top w:val="nil"/>
              <w:left w:val="nil"/>
              <w:bottom w:val="nil"/>
              <w:right w:val="nil"/>
            </w:tcBorders>
          </w:tcPr>
          <w:p w14:paraId="5ABE0EF7" w14:textId="77777777" w:rsidR="00086EAE" w:rsidRPr="0054344B" w:rsidRDefault="00086EAE" w:rsidP="00086EAE">
            <w:pPr>
              <w:widowControl w:val="0"/>
              <w:autoSpaceDE w:val="0"/>
              <w:autoSpaceDN w:val="0"/>
              <w:adjustRightInd w:val="0"/>
            </w:pPr>
          </w:p>
        </w:tc>
        <w:tc>
          <w:tcPr>
            <w:tcW w:w="2016" w:type="dxa"/>
            <w:tcBorders>
              <w:top w:val="nil"/>
              <w:left w:val="nil"/>
              <w:bottom w:val="nil"/>
              <w:right w:val="nil"/>
            </w:tcBorders>
          </w:tcPr>
          <w:p w14:paraId="4850FA2A" w14:textId="77777777" w:rsidR="00086EAE" w:rsidRPr="0054344B" w:rsidRDefault="00086EAE" w:rsidP="00086EAE">
            <w:pPr>
              <w:widowControl w:val="0"/>
              <w:autoSpaceDE w:val="0"/>
              <w:autoSpaceDN w:val="0"/>
              <w:adjustRightInd w:val="0"/>
              <w:jc w:val="center"/>
            </w:pPr>
            <w:r w:rsidRPr="0054344B">
              <w:t>(0.48)</w:t>
            </w:r>
          </w:p>
        </w:tc>
        <w:tc>
          <w:tcPr>
            <w:tcW w:w="2016" w:type="dxa"/>
            <w:tcBorders>
              <w:top w:val="nil"/>
              <w:left w:val="nil"/>
              <w:bottom w:val="nil"/>
              <w:right w:val="nil"/>
            </w:tcBorders>
          </w:tcPr>
          <w:p w14:paraId="6599EE54" w14:textId="77777777" w:rsidR="00086EAE" w:rsidRPr="0054344B" w:rsidRDefault="00086EAE" w:rsidP="00086EAE">
            <w:pPr>
              <w:widowControl w:val="0"/>
              <w:autoSpaceDE w:val="0"/>
              <w:autoSpaceDN w:val="0"/>
              <w:adjustRightInd w:val="0"/>
              <w:jc w:val="center"/>
            </w:pPr>
            <w:r w:rsidRPr="0054344B">
              <w:t>(0.06)</w:t>
            </w:r>
          </w:p>
        </w:tc>
      </w:tr>
      <w:tr w:rsidR="00086EAE" w:rsidRPr="0054344B" w14:paraId="339D7F3F" w14:textId="77777777" w:rsidTr="00086EAE">
        <w:tc>
          <w:tcPr>
            <w:tcW w:w="1656" w:type="dxa"/>
            <w:tcBorders>
              <w:top w:val="nil"/>
              <w:left w:val="nil"/>
              <w:bottom w:val="nil"/>
              <w:right w:val="nil"/>
            </w:tcBorders>
          </w:tcPr>
          <w:p w14:paraId="399D9F4C" w14:textId="77777777" w:rsidR="00086EAE" w:rsidRPr="0054344B" w:rsidRDefault="00086EAE" w:rsidP="00086EAE">
            <w:pPr>
              <w:widowControl w:val="0"/>
              <w:autoSpaceDE w:val="0"/>
              <w:autoSpaceDN w:val="0"/>
              <w:adjustRightInd w:val="0"/>
            </w:pPr>
            <w:r w:rsidRPr="0054344B">
              <w:t>Dual</w:t>
            </w:r>
          </w:p>
        </w:tc>
        <w:tc>
          <w:tcPr>
            <w:tcW w:w="2016" w:type="dxa"/>
            <w:tcBorders>
              <w:top w:val="nil"/>
              <w:left w:val="nil"/>
              <w:bottom w:val="nil"/>
              <w:right w:val="nil"/>
            </w:tcBorders>
          </w:tcPr>
          <w:p w14:paraId="6EF4EF5D" w14:textId="77777777" w:rsidR="00086EAE" w:rsidRPr="0054344B" w:rsidRDefault="00086EAE" w:rsidP="00086EAE">
            <w:pPr>
              <w:widowControl w:val="0"/>
              <w:autoSpaceDE w:val="0"/>
              <w:autoSpaceDN w:val="0"/>
              <w:adjustRightInd w:val="0"/>
              <w:jc w:val="center"/>
            </w:pPr>
            <w:r w:rsidRPr="0054344B">
              <w:t>2.855</w:t>
            </w:r>
            <w:r w:rsidRPr="0054344B">
              <w:rPr>
                <w:vertAlign w:val="superscript"/>
              </w:rPr>
              <w:t>**</w:t>
            </w:r>
          </w:p>
        </w:tc>
        <w:tc>
          <w:tcPr>
            <w:tcW w:w="2016" w:type="dxa"/>
            <w:tcBorders>
              <w:top w:val="nil"/>
              <w:left w:val="nil"/>
              <w:bottom w:val="nil"/>
              <w:right w:val="nil"/>
            </w:tcBorders>
          </w:tcPr>
          <w:p w14:paraId="458FAAEF" w14:textId="77777777" w:rsidR="00086EAE" w:rsidRPr="0054344B" w:rsidRDefault="00086EAE" w:rsidP="00086EAE">
            <w:pPr>
              <w:widowControl w:val="0"/>
              <w:autoSpaceDE w:val="0"/>
              <w:autoSpaceDN w:val="0"/>
              <w:adjustRightInd w:val="0"/>
              <w:jc w:val="center"/>
            </w:pPr>
            <w:r w:rsidRPr="0054344B">
              <w:t>8.568</w:t>
            </w:r>
            <w:r w:rsidRPr="0054344B">
              <w:rPr>
                <w:vertAlign w:val="superscript"/>
              </w:rPr>
              <w:t>***</w:t>
            </w:r>
          </w:p>
        </w:tc>
      </w:tr>
      <w:tr w:rsidR="00086EAE" w:rsidRPr="0054344B" w14:paraId="60A30EFF" w14:textId="77777777" w:rsidTr="00086EAE">
        <w:tc>
          <w:tcPr>
            <w:tcW w:w="1656" w:type="dxa"/>
            <w:tcBorders>
              <w:top w:val="nil"/>
              <w:left w:val="nil"/>
              <w:bottom w:val="nil"/>
              <w:right w:val="nil"/>
            </w:tcBorders>
          </w:tcPr>
          <w:p w14:paraId="3C27675B" w14:textId="77777777" w:rsidR="00086EAE" w:rsidRPr="0054344B" w:rsidRDefault="00086EAE" w:rsidP="00086EAE">
            <w:pPr>
              <w:widowControl w:val="0"/>
              <w:autoSpaceDE w:val="0"/>
              <w:autoSpaceDN w:val="0"/>
              <w:adjustRightInd w:val="0"/>
            </w:pPr>
          </w:p>
        </w:tc>
        <w:tc>
          <w:tcPr>
            <w:tcW w:w="2016" w:type="dxa"/>
            <w:tcBorders>
              <w:top w:val="nil"/>
              <w:left w:val="nil"/>
              <w:bottom w:val="nil"/>
              <w:right w:val="nil"/>
            </w:tcBorders>
          </w:tcPr>
          <w:p w14:paraId="4EB4F53C" w14:textId="77777777" w:rsidR="00086EAE" w:rsidRPr="0054344B" w:rsidRDefault="00086EAE" w:rsidP="00086EAE">
            <w:pPr>
              <w:widowControl w:val="0"/>
              <w:autoSpaceDE w:val="0"/>
              <w:autoSpaceDN w:val="0"/>
              <w:adjustRightInd w:val="0"/>
              <w:jc w:val="center"/>
            </w:pPr>
            <w:r w:rsidRPr="0054344B">
              <w:t>(0.04)</w:t>
            </w:r>
          </w:p>
        </w:tc>
        <w:tc>
          <w:tcPr>
            <w:tcW w:w="2016" w:type="dxa"/>
            <w:tcBorders>
              <w:top w:val="nil"/>
              <w:left w:val="nil"/>
              <w:bottom w:val="nil"/>
              <w:right w:val="nil"/>
            </w:tcBorders>
          </w:tcPr>
          <w:p w14:paraId="0F30DD36" w14:textId="77777777" w:rsidR="00086EAE" w:rsidRPr="0054344B" w:rsidRDefault="00086EAE" w:rsidP="00086EAE">
            <w:pPr>
              <w:widowControl w:val="0"/>
              <w:autoSpaceDE w:val="0"/>
              <w:autoSpaceDN w:val="0"/>
              <w:adjustRightInd w:val="0"/>
              <w:jc w:val="center"/>
            </w:pPr>
            <w:r w:rsidRPr="0054344B">
              <w:t>(0.00)</w:t>
            </w:r>
          </w:p>
        </w:tc>
      </w:tr>
      <w:tr w:rsidR="00086EAE" w:rsidRPr="0054344B" w14:paraId="2ED42934" w14:textId="77777777" w:rsidTr="00086EAE">
        <w:tc>
          <w:tcPr>
            <w:tcW w:w="1656" w:type="dxa"/>
            <w:tcBorders>
              <w:top w:val="nil"/>
              <w:left w:val="nil"/>
              <w:bottom w:val="nil"/>
              <w:right w:val="nil"/>
            </w:tcBorders>
          </w:tcPr>
          <w:p w14:paraId="6A83372F" w14:textId="77777777" w:rsidR="00086EAE" w:rsidRPr="0054344B" w:rsidRDefault="00086EAE" w:rsidP="00086EAE">
            <w:pPr>
              <w:widowControl w:val="0"/>
              <w:autoSpaceDE w:val="0"/>
              <w:autoSpaceDN w:val="0"/>
              <w:adjustRightInd w:val="0"/>
            </w:pPr>
            <w:r w:rsidRPr="0054344B">
              <w:t>Insurance-2</w:t>
            </w:r>
          </w:p>
        </w:tc>
        <w:tc>
          <w:tcPr>
            <w:tcW w:w="2016" w:type="dxa"/>
            <w:tcBorders>
              <w:top w:val="nil"/>
              <w:left w:val="nil"/>
              <w:bottom w:val="nil"/>
              <w:right w:val="nil"/>
            </w:tcBorders>
          </w:tcPr>
          <w:p w14:paraId="46E8EB27" w14:textId="77777777" w:rsidR="00086EAE" w:rsidRPr="0054344B" w:rsidRDefault="00086EAE" w:rsidP="00086EAE">
            <w:pPr>
              <w:widowControl w:val="0"/>
              <w:autoSpaceDE w:val="0"/>
              <w:autoSpaceDN w:val="0"/>
              <w:adjustRightInd w:val="0"/>
              <w:jc w:val="center"/>
            </w:pPr>
            <w:r w:rsidRPr="0054344B">
              <w:t>1.579</w:t>
            </w:r>
          </w:p>
        </w:tc>
        <w:tc>
          <w:tcPr>
            <w:tcW w:w="2016" w:type="dxa"/>
            <w:tcBorders>
              <w:top w:val="nil"/>
              <w:left w:val="nil"/>
              <w:bottom w:val="nil"/>
              <w:right w:val="nil"/>
            </w:tcBorders>
          </w:tcPr>
          <w:p w14:paraId="70921247" w14:textId="77777777" w:rsidR="00086EAE" w:rsidRPr="0054344B" w:rsidRDefault="00086EAE" w:rsidP="00086EAE">
            <w:pPr>
              <w:widowControl w:val="0"/>
              <w:autoSpaceDE w:val="0"/>
              <w:autoSpaceDN w:val="0"/>
              <w:adjustRightInd w:val="0"/>
              <w:jc w:val="center"/>
            </w:pPr>
            <w:r w:rsidRPr="0054344B">
              <w:t>4.203</w:t>
            </w:r>
          </w:p>
        </w:tc>
      </w:tr>
      <w:tr w:rsidR="00086EAE" w:rsidRPr="0054344B" w14:paraId="3C85ED8B" w14:textId="77777777" w:rsidTr="00086EAE">
        <w:tc>
          <w:tcPr>
            <w:tcW w:w="1656" w:type="dxa"/>
            <w:tcBorders>
              <w:top w:val="nil"/>
              <w:left w:val="nil"/>
              <w:bottom w:val="nil"/>
              <w:right w:val="nil"/>
            </w:tcBorders>
          </w:tcPr>
          <w:p w14:paraId="1C3D69AA" w14:textId="77777777" w:rsidR="00086EAE" w:rsidRPr="0054344B" w:rsidRDefault="00086EAE" w:rsidP="00086EAE">
            <w:pPr>
              <w:widowControl w:val="0"/>
              <w:autoSpaceDE w:val="0"/>
              <w:autoSpaceDN w:val="0"/>
              <w:adjustRightInd w:val="0"/>
            </w:pPr>
          </w:p>
        </w:tc>
        <w:tc>
          <w:tcPr>
            <w:tcW w:w="2016" w:type="dxa"/>
            <w:tcBorders>
              <w:top w:val="nil"/>
              <w:left w:val="nil"/>
              <w:bottom w:val="nil"/>
              <w:right w:val="nil"/>
            </w:tcBorders>
          </w:tcPr>
          <w:p w14:paraId="7B0B53F4" w14:textId="77777777" w:rsidR="00086EAE" w:rsidRPr="0054344B" w:rsidRDefault="00086EAE" w:rsidP="00086EAE">
            <w:pPr>
              <w:widowControl w:val="0"/>
              <w:autoSpaceDE w:val="0"/>
              <w:autoSpaceDN w:val="0"/>
              <w:adjustRightInd w:val="0"/>
              <w:jc w:val="center"/>
            </w:pPr>
            <w:r w:rsidRPr="0054344B">
              <w:t>(0.44)</w:t>
            </w:r>
          </w:p>
        </w:tc>
        <w:tc>
          <w:tcPr>
            <w:tcW w:w="2016" w:type="dxa"/>
            <w:tcBorders>
              <w:top w:val="nil"/>
              <w:left w:val="nil"/>
              <w:bottom w:val="nil"/>
              <w:right w:val="nil"/>
            </w:tcBorders>
          </w:tcPr>
          <w:p w14:paraId="7CA0B67E" w14:textId="77777777" w:rsidR="00086EAE" w:rsidRPr="0054344B" w:rsidRDefault="00086EAE" w:rsidP="00086EAE">
            <w:pPr>
              <w:widowControl w:val="0"/>
              <w:autoSpaceDE w:val="0"/>
              <w:autoSpaceDN w:val="0"/>
              <w:adjustRightInd w:val="0"/>
              <w:jc w:val="center"/>
            </w:pPr>
            <w:r w:rsidRPr="0054344B">
              <w:t>(0.26)</w:t>
            </w:r>
          </w:p>
        </w:tc>
      </w:tr>
      <w:tr w:rsidR="00086EAE" w:rsidRPr="0054344B" w14:paraId="04B53B3C" w14:textId="77777777" w:rsidTr="00086EAE">
        <w:tc>
          <w:tcPr>
            <w:tcW w:w="1656" w:type="dxa"/>
            <w:tcBorders>
              <w:top w:val="nil"/>
              <w:left w:val="nil"/>
              <w:bottom w:val="nil"/>
              <w:right w:val="nil"/>
            </w:tcBorders>
          </w:tcPr>
          <w:p w14:paraId="78F6CB61" w14:textId="77777777" w:rsidR="00086EAE" w:rsidRPr="0054344B" w:rsidRDefault="00086EAE" w:rsidP="00086EAE">
            <w:pPr>
              <w:widowControl w:val="0"/>
              <w:autoSpaceDE w:val="0"/>
              <w:autoSpaceDN w:val="0"/>
              <w:adjustRightInd w:val="0"/>
            </w:pPr>
            <w:r w:rsidRPr="0054344B">
              <w:t>Mortgages-3</w:t>
            </w:r>
          </w:p>
        </w:tc>
        <w:tc>
          <w:tcPr>
            <w:tcW w:w="2016" w:type="dxa"/>
            <w:tcBorders>
              <w:top w:val="nil"/>
              <w:left w:val="nil"/>
              <w:bottom w:val="nil"/>
              <w:right w:val="nil"/>
            </w:tcBorders>
          </w:tcPr>
          <w:p w14:paraId="2EE538EF" w14:textId="77777777" w:rsidR="00086EAE" w:rsidRPr="0054344B" w:rsidRDefault="00086EAE" w:rsidP="00086EAE">
            <w:pPr>
              <w:widowControl w:val="0"/>
              <w:autoSpaceDE w:val="0"/>
              <w:autoSpaceDN w:val="0"/>
              <w:adjustRightInd w:val="0"/>
              <w:jc w:val="center"/>
            </w:pPr>
            <w:r w:rsidRPr="0054344B">
              <w:t>4.864</w:t>
            </w:r>
            <w:r w:rsidRPr="0054344B">
              <w:rPr>
                <w:vertAlign w:val="superscript"/>
              </w:rPr>
              <w:t>**</w:t>
            </w:r>
          </w:p>
        </w:tc>
        <w:tc>
          <w:tcPr>
            <w:tcW w:w="2016" w:type="dxa"/>
            <w:tcBorders>
              <w:top w:val="nil"/>
              <w:left w:val="nil"/>
              <w:bottom w:val="nil"/>
              <w:right w:val="nil"/>
            </w:tcBorders>
          </w:tcPr>
          <w:p w14:paraId="2AC5E37F" w14:textId="77777777" w:rsidR="00086EAE" w:rsidRPr="0054344B" w:rsidRDefault="00086EAE" w:rsidP="00086EAE">
            <w:pPr>
              <w:widowControl w:val="0"/>
              <w:autoSpaceDE w:val="0"/>
              <w:autoSpaceDN w:val="0"/>
              <w:adjustRightInd w:val="0"/>
              <w:jc w:val="center"/>
            </w:pPr>
            <w:r w:rsidRPr="0054344B">
              <w:t>15.358</w:t>
            </w:r>
            <w:r w:rsidRPr="0054344B">
              <w:rPr>
                <w:vertAlign w:val="superscript"/>
              </w:rPr>
              <w:t>***</w:t>
            </w:r>
          </w:p>
        </w:tc>
      </w:tr>
      <w:tr w:rsidR="00086EAE" w:rsidRPr="0054344B" w14:paraId="34008B4F" w14:textId="77777777" w:rsidTr="00086EAE">
        <w:tc>
          <w:tcPr>
            <w:tcW w:w="1656" w:type="dxa"/>
            <w:tcBorders>
              <w:top w:val="nil"/>
              <w:left w:val="nil"/>
              <w:bottom w:val="nil"/>
              <w:right w:val="nil"/>
            </w:tcBorders>
          </w:tcPr>
          <w:p w14:paraId="37AE13D6" w14:textId="77777777" w:rsidR="00086EAE" w:rsidRPr="0054344B" w:rsidRDefault="00086EAE" w:rsidP="00086EAE">
            <w:pPr>
              <w:widowControl w:val="0"/>
              <w:autoSpaceDE w:val="0"/>
              <w:autoSpaceDN w:val="0"/>
              <w:adjustRightInd w:val="0"/>
            </w:pPr>
          </w:p>
        </w:tc>
        <w:tc>
          <w:tcPr>
            <w:tcW w:w="2016" w:type="dxa"/>
            <w:tcBorders>
              <w:top w:val="nil"/>
              <w:left w:val="nil"/>
              <w:bottom w:val="nil"/>
              <w:right w:val="nil"/>
            </w:tcBorders>
          </w:tcPr>
          <w:p w14:paraId="2C3BC492" w14:textId="77777777" w:rsidR="00086EAE" w:rsidRPr="0054344B" w:rsidRDefault="00086EAE" w:rsidP="00086EAE">
            <w:pPr>
              <w:widowControl w:val="0"/>
              <w:autoSpaceDE w:val="0"/>
              <w:autoSpaceDN w:val="0"/>
              <w:adjustRightInd w:val="0"/>
              <w:jc w:val="center"/>
            </w:pPr>
            <w:r w:rsidRPr="0054344B">
              <w:t>(0.02)</w:t>
            </w:r>
          </w:p>
        </w:tc>
        <w:tc>
          <w:tcPr>
            <w:tcW w:w="2016" w:type="dxa"/>
            <w:tcBorders>
              <w:top w:val="nil"/>
              <w:left w:val="nil"/>
              <w:bottom w:val="nil"/>
              <w:right w:val="nil"/>
            </w:tcBorders>
          </w:tcPr>
          <w:p w14:paraId="0BF0E7FD" w14:textId="77777777" w:rsidR="00086EAE" w:rsidRPr="0054344B" w:rsidRDefault="00086EAE" w:rsidP="00086EAE">
            <w:pPr>
              <w:widowControl w:val="0"/>
              <w:autoSpaceDE w:val="0"/>
              <w:autoSpaceDN w:val="0"/>
              <w:adjustRightInd w:val="0"/>
              <w:jc w:val="center"/>
            </w:pPr>
            <w:r w:rsidRPr="0054344B">
              <w:t>(0.00)</w:t>
            </w:r>
          </w:p>
        </w:tc>
      </w:tr>
      <w:tr w:rsidR="00086EAE" w:rsidRPr="0054344B" w14:paraId="54044BE9" w14:textId="77777777" w:rsidTr="00086EAE">
        <w:tc>
          <w:tcPr>
            <w:tcW w:w="1656" w:type="dxa"/>
            <w:tcBorders>
              <w:top w:val="nil"/>
              <w:left w:val="nil"/>
              <w:bottom w:val="nil"/>
              <w:right w:val="nil"/>
            </w:tcBorders>
          </w:tcPr>
          <w:p w14:paraId="13ED2A99" w14:textId="77777777" w:rsidR="00086EAE" w:rsidRPr="0054344B" w:rsidRDefault="00086EAE" w:rsidP="00086EAE">
            <w:pPr>
              <w:widowControl w:val="0"/>
              <w:autoSpaceDE w:val="0"/>
              <w:autoSpaceDN w:val="0"/>
              <w:adjustRightInd w:val="0"/>
            </w:pPr>
            <w:r w:rsidRPr="0054344B">
              <w:t>Invest. Trust</w:t>
            </w:r>
            <w:r w:rsidR="00C94643" w:rsidRPr="0054344B">
              <w:t>-</w:t>
            </w:r>
            <w:r w:rsidRPr="0054344B">
              <w:t>4</w:t>
            </w:r>
          </w:p>
        </w:tc>
        <w:tc>
          <w:tcPr>
            <w:tcW w:w="2016" w:type="dxa"/>
            <w:tcBorders>
              <w:top w:val="nil"/>
              <w:left w:val="nil"/>
              <w:bottom w:val="nil"/>
              <w:right w:val="nil"/>
            </w:tcBorders>
          </w:tcPr>
          <w:p w14:paraId="0C87DB58" w14:textId="77777777" w:rsidR="00086EAE" w:rsidRPr="0054344B" w:rsidRDefault="00086EAE" w:rsidP="00086EAE">
            <w:pPr>
              <w:widowControl w:val="0"/>
              <w:autoSpaceDE w:val="0"/>
              <w:autoSpaceDN w:val="0"/>
              <w:adjustRightInd w:val="0"/>
              <w:jc w:val="center"/>
            </w:pPr>
            <w:r w:rsidRPr="0054344B">
              <w:t>16.385</w:t>
            </w:r>
            <w:r w:rsidRPr="0054344B">
              <w:rPr>
                <w:vertAlign w:val="superscript"/>
              </w:rPr>
              <w:t>***</w:t>
            </w:r>
          </w:p>
        </w:tc>
        <w:tc>
          <w:tcPr>
            <w:tcW w:w="2016" w:type="dxa"/>
            <w:tcBorders>
              <w:top w:val="nil"/>
              <w:left w:val="nil"/>
              <w:bottom w:val="nil"/>
              <w:right w:val="nil"/>
            </w:tcBorders>
          </w:tcPr>
          <w:p w14:paraId="52F67571" w14:textId="77777777" w:rsidR="00086EAE" w:rsidRPr="0054344B" w:rsidRDefault="00086EAE" w:rsidP="00086EAE">
            <w:pPr>
              <w:widowControl w:val="0"/>
              <w:autoSpaceDE w:val="0"/>
              <w:autoSpaceDN w:val="0"/>
              <w:adjustRightInd w:val="0"/>
              <w:jc w:val="center"/>
            </w:pPr>
            <w:r w:rsidRPr="0054344B">
              <w:t>24.285</w:t>
            </w:r>
            <w:r w:rsidRPr="0054344B">
              <w:rPr>
                <w:vertAlign w:val="superscript"/>
              </w:rPr>
              <w:t>***</w:t>
            </w:r>
          </w:p>
        </w:tc>
      </w:tr>
      <w:tr w:rsidR="00086EAE" w:rsidRPr="0054344B" w14:paraId="330614CD" w14:textId="77777777" w:rsidTr="00086EAE">
        <w:tc>
          <w:tcPr>
            <w:tcW w:w="1656" w:type="dxa"/>
            <w:tcBorders>
              <w:top w:val="nil"/>
              <w:left w:val="nil"/>
              <w:bottom w:val="nil"/>
              <w:right w:val="nil"/>
            </w:tcBorders>
          </w:tcPr>
          <w:p w14:paraId="43E11E02" w14:textId="77777777" w:rsidR="00086EAE" w:rsidRPr="0054344B" w:rsidRDefault="00086EAE" w:rsidP="00086EAE">
            <w:pPr>
              <w:widowControl w:val="0"/>
              <w:autoSpaceDE w:val="0"/>
              <w:autoSpaceDN w:val="0"/>
              <w:adjustRightInd w:val="0"/>
            </w:pPr>
          </w:p>
        </w:tc>
        <w:tc>
          <w:tcPr>
            <w:tcW w:w="2016" w:type="dxa"/>
            <w:tcBorders>
              <w:top w:val="nil"/>
              <w:left w:val="nil"/>
              <w:bottom w:val="nil"/>
              <w:right w:val="nil"/>
            </w:tcBorders>
          </w:tcPr>
          <w:p w14:paraId="2E490FF0" w14:textId="77777777" w:rsidR="00086EAE" w:rsidRPr="0054344B" w:rsidRDefault="00086EAE" w:rsidP="00086EAE">
            <w:pPr>
              <w:widowControl w:val="0"/>
              <w:autoSpaceDE w:val="0"/>
              <w:autoSpaceDN w:val="0"/>
              <w:adjustRightInd w:val="0"/>
              <w:jc w:val="center"/>
            </w:pPr>
            <w:r w:rsidRPr="0054344B">
              <w:t>(0.00)</w:t>
            </w:r>
          </w:p>
        </w:tc>
        <w:tc>
          <w:tcPr>
            <w:tcW w:w="2016" w:type="dxa"/>
            <w:tcBorders>
              <w:top w:val="nil"/>
              <w:left w:val="nil"/>
              <w:bottom w:val="nil"/>
              <w:right w:val="nil"/>
            </w:tcBorders>
          </w:tcPr>
          <w:p w14:paraId="43F54287" w14:textId="77777777" w:rsidR="00086EAE" w:rsidRPr="0054344B" w:rsidRDefault="00086EAE" w:rsidP="00086EAE">
            <w:pPr>
              <w:widowControl w:val="0"/>
              <w:autoSpaceDE w:val="0"/>
              <w:autoSpaceDN w:val="0"/>
              <w:adjustRightInd w:val="0"/>
              <w:jc w:val="center"/>
            </w:pPr>
            <w:r w:rsidRPr="0054344B">
              <w:t>(0.00)</w:t>
            </w:r>
          </w:p>
        </w:tc>
      </w:tr>
      <w:tr w:rsidR="00086EAE" w:rsidRPr="0054344B" w14:paraId="4125D96E" w14:textId="77777777" w:rsidTr="00086EAE">
        <w:tc>
          <w:tcPr>
            <w:tcW w:w="1656" w:type="dxa"/>
            <w:tcBorders>
              <w:top w:val="nil"/>
              <w:left w:val="nil"/>
              <w:bottom w:val="nil"/>
              <w:right w:val="nil"/>
            </w:tcBorders>
          </w:tcPr>
          <w:p w14:paraId="0B58DB8F" w14:textId="77777777" w:rsidR="00086EAE" w:rsidRPr="0054344B" w:rsidRDefault="00086EAE" w:rsidP="00086EAE">
            <w:pPr>
              <w:widowControl w:val="0"/>
              <w:autoSpaceDE w:val="0"/>
              <w:autoSpaceDN w:val="0"/>
              <w:adjustRightInd w:val="0"/>
            </w:pPr>
            <w:r w:rsidRPr="0054344B">
              <w:t>Banking-5</w:t>
            </w:r>
          </w:p>
        </w:tc>
        <w:tc>
          <w:tcPr>
            <w:tcW w:w="2016" w:type="dxa"/>
            <w:tcBorders>
              <w:top w:val="nil"/>
              <w:left w:val="nil"/>
              <w:bottom w:val="nil"/>
              <w:right w:val="nil"/>
            </w:tcBorders>
          </w:tcPr>
          <w:p w14:paraId="6AEBC3AE" w14:textId="77777777" w:rsidR="00086EAE" w:rsidRPr="0054344B" w:rsidRDefault="00086EAE" w:rsidP="00086EAE">
            <w:pPr>
              <w:widowControl w:val="0"/>
              <w:autoSpaceDE w:val="0"/>
              <w:autoSpaceDN w:val="0"/>
              <w:adjustRightInd w:val="0"/>
              <w:jc w:val="center"/>
            </w:pPr>
            <w:r w:rsidRPr="0054344B">
              <w:t>1.115</w:t>
            </w:r>
          </w:p>
        </w:tc>
        <w:tc>
          <w:tcPr>
            <w:tcW w:w="2016" w:type="dxa"/>
            <w:tcBorders>
              <w:top w:val="nil"/>
              <w:left w:val="nil"/>
              <w:bottom w:val="nil"/>
              <w:right w:val="nil"/>
            </w:tcBorders>
          </w:tcPr>
          <w:p w14:paraId="71BED608" w14:textId="77777777" w:rsidR="00086EAE" w:rsidRPr="0054344B" w:rsidRDefault="00086EAE" w:rsidP="00086EAE">
            <w:pPr>
              <w:widowControl w:val="0"/>
              <w:autoSpaceDE w:val="0"/>
              <w:autoSpaceDN w:val="0"/>
              <w:adjustRightInd w:val="0"/>
              <w:jc w:val="center"/>
            </w:pPr>
            <w:r w:rsidRPr="0054344B">
              <w:t>2.981</w:t>
            </w:r>
          </w:p>
        </w:tc>
      </w:tr>
      <w:tr w:rsidR="00086EAE" w:rsidRPr="0054344B" w14:paraId="3A92E228" w14:textId="77777777" w:rsidTr="00086EAE">
        <w:tc>
          <w:tcPr>
            <w:tcW w:w="1656" w:type="dxa"/>
            <w:tcBorders>
              <w:top w:val="nil"/>
              <w:left w:val="nil"/>
              <w:bottom w:val="nil"/>
              <w:right w:val="nil"/>
            </w:tcBorders>
          </w:tcPr>
          <w:p w14:paraId="641339C9" w14:textId="77777777" w:rsidR="00086EAE" w:rsidRPr="0054344B" w:rsidRDefault="00086EAE" w:rsidP="00086EAE">
            <w:pPr>
              <w:widowControl w:val="0"/>
              <w:autoSpaceDE w:val="0"/>
              <w:autoSpaceDN w:val="0"/>
              <w:adjustRightInd w:val="0"/>
            </w:pPr>
          </w:p>
        </w:tc>
        <w:tc>
          <w:tcPr>
            <w:tcW w:w="2016" w:type="dxa"/>
            <w:tcBorders>
              <w:top w:val="nil"/>
              <w:left w:val="nil"/>
              <w:bottom w:val="nil"/>
              <w:right w:val="nil"/>
            </w:tcBorders>
          </w:tcPr>
          <w:p w14:paraId="509CB247" w14:textId="77777777" w:rsidR="00086EAE" w:rsidRPr="0054344B" w:rsidRDefault="00086EAE" w:rsidP="00086EAE">
            <w:pPr>
              <w:widowControl w:val="0"/>
              <w:autoSpaceDE w:val="0"/>
              <w:autoSpaceDN w:val="0"/>
              <w:adjustRightInd w:val="0"/>
              <w:jc w:val="center"/>
            </w:pPr>
            <w:r w:rsidRPr="0054344B">
              <w:t>(0.58)</w:t>
            </w:r>
          </w:p>
        </w:tc>
        <w:tc>
          <w:tcPr>
            <w:tcW w:w="2016" w:type="dxa"/>
            <w:tcBorders>
              <w:top w:val="nil"/>
              <w:left w:val="nil"/>
              <w:bottom w:val="nil"/>
              <w:right w:val="nil"/>
            </w:tcBorders>
          </w:tcPr>
          <w:p w14:paraId="26703AF7" w14:textId="77777777" w:rsidR="00086EAE" w:rsidRPr="0054344B" w:rsidRDefault="00086EAE" w:rsidP="00086EAE">
            <w:pPr>
              <w:widowControl w:val="0"/>
              <w:autoSpaceDE w:val="0"/>
              <w:autoSpaceDN w:val="0"/>
              <w:adjustRightInd w:val="0"/>
              <w:jc w:val="center"/>
            </w:pPr>
            <w:r w:rsidRPr="0054344B">
              <w:t>(0.45)</w:t>
            </w:r>
          </w:p>
        </w:tc>
      </w:tr>
      <w:tr w:rsidR="00086EAE" w:rsidRPr="0054344B" w14:paraId="59770BD7" w14:textId="77777777" w:rsidTr="00086EAE">
        <w:tc>
          <w:tcPr>
            <w:tcW w:w="1656" w:type="dxa"/>
            <w:tcBorders>
              <w:top w:val="nil"/>
              <w:left w:val="nil"/>
              <w:bottom w:val="nil"/>
              <w:right w:val="nil"/>
            </w:tcBorders>
          </w:tcPr>
          <w:p w14:paraId="2FFAFCDD" w14:textId="77777777" w:rsidR="00086EAE" w:rsidRPr="0054344B" w:rsidRDefault="00086EAE" w:rsidP="00086EAE">
            <w:pPr>
              <w:widowControl w:val="0"/>
              <w:autoSpaceDE w:val="0"/>
              <w:autoSpaceDN w:val="0"/>
              <w:adjustRightInd w:val="0"/>
            </w:pPr>
            <w:r w:rsidRPr="0054344B">
              <w:t>_constant</w:t>
            </w:r>
          </w:p>
        </w:tc>
        <w:tc>
          <w:tcPr>
            <w:tcW w:w="2016" w:type="dxa"/>
            <w:tcBorders>
              <w:top w:val="nil"/>
              <w:left w:val="nil"/>
              <w:bottom w:val="nil"/>
              <w:right w:val="nil"/>
            </w:tcBorders>
          </w:tcPr>
          <w:p w14:paraId="4AC36614" w14:textId="77777777" w:rsidR="00086EAE" w:rsidRPr="0054344B" w:rsidRDefault="00086EAE" w:rsidP="00086EAE">
            <w:pPr>
              <w:widowControl w:val="0"/>
              <w:autoSpaceDE w:val="0"/>
              <w:autoSpaceDN w:val="0"/>
              <w:adjustRightInd w:val="0"/>
              <w:jc w:val="center"/>
            </w:pPr>
            <w:r w:rsidRPr="0054344B">
              <w:t>-0.149</w:t>
            </w:r>
          </w:p>
        </w:tc>
        <w:tc>
          <w:tcPr>
            <w:tcW w:w="2016" w:type="dxa"/>
            <w:tcBorders>
              <w:top w:val="nil"/>
              <w:left w:val="nil"/>
              <w:bottom w:val="nil"/>
              <w:right w:val="nil"/>
            </w:tcBorders>
          </w:tcPr>
          <w:p w14:paraId="452FE528" w14:textId="77777777" w:rsidR="00086EAE" w:rsidRPr="0054344B" w:rsidRDefault="00086EAE" w:rsidP="00086EAE">
            <w:pPr>
              <w:widowControl w:val="0"/>
              <w:autoSpaceDE w:val="0"/>
              <w:autoSpaceDN w:val="0"/>
              <w:adjustRightInd w:val="0"/>
              <w:jc w:val="center"/>
            </w:pPr>
            <w:r w:rsidRPr="0054344B">
              <w:t>12.471</w:t>
            </w:r>
            <w:r w:rsidRPr="0054344B">
              <w:rPr>
                <w:vertAlign w:val="superscript"/>
              </w:rPr>
              <w:t>*</w:t>
            </w:r>
          </w:p>
        </w:tc>
      </w:tr>
      <w:tr w:rsidR="00086EAE" w:rsidRPr="0054344B" w14:paraId="001D8DD1" w14:textId="77777777" w:rsidTr="00086EAE">
        <w:tc>
          <w:tcPr>
            <w:tcW w:w="1656" w:type="dxa"/>
            <w:tcBorders>
              <w:top w:val="nil"/>
              <w:left w:val="nil"/>
              <w:bottom w:val="single" w:sz="4" w:space="0" w:color="auto"/>
              <w:right w:val="nil"/>
            </w:tcBorders>
          </w:tcPr>
          <w:p w14:paraId="470E2EEA" w14:textId="77777777" w:rsidR="00086EAE" w:rsidRPr="0054344B" w:rsidRDefault="00086EAE" w:rsidP="00086EAE">
            <w:pPr>
              <w:widowControl w:val="0"/>
              <w:autoSpaceDE w:val="0"/>
              <w:autoSpaceDN w:val="0"/>
              <w:adjustRightInd w:val="0"/>
            </w:pPr>
          </w:p>
          <w:p w14:paraId="062AB1DC" w14:textId="77777777" w:rsidR="00086EAE" w:rsidRPr="0054344B" w:rsidRDefault="00086EAE" w:rsidP="00086EAE">
            <w:pPr>
              <w:widowControl w:val="0"/>
              <w:autoSpaceDE w:val="0"/>
              <w:autoSpaceDN w:val="0"/>
              <w:adjustRightInd w:val="0"/>
            </w:pPr>
            <w:r w:rsidRPr="0054344B">
              <w:t>Year</w:t>
            </w:r>
          </w:p>
        </w:tc>
        <w:tc>
          <w:tcPr>
            <w:tcW w:w="2016" w:type="dxa"/>
            <w:tcBorders>
              <w:top w:val="nil"/>
              <w:left w:val="nil"/>
              <w:bottom w:val="single" w:sz="4" w:space="0" w:color="auto"/>
              <w:right w:val="nil"/>
            </w:tcBorders>
          </w:tcPr>
          <w:p w14:paraId="2EF5F926" w14:textId="77777777" w:rsidR="00086EAE" w:rsidRPr="0054344B" w:rsidRDefault="00086EAE" w:rsidP="00086EAE">
            <w:pPr>
              <w:widowControl w:val="0"/>
              <w:autoSpaceDE w:val="0"/>
              <w:autoSpaceDN w:val="0"/>
              <w:adjustRightInd w:val="0"/>
              <w:jc w:val="center"/>
            </w:pPr>
            <w:r w:rsidRPr="0054344B">
              <w:t>(0.96)</w:t>
            </w:r>
          </w:p>
          <w:p w14:paraId="2D63F16F" w14:textId="77777777" w:rsidR="00086EAE" w:rsidRPr="0054344B" w:rsidRDefault="00086EAE" w:rsidP="00086EAE">
            <w:pPr>
              <w:widowControl w:val="0"/>
              <w:autoSpaceDE w:val="0"/>
              <w:autoSpaceDN w:val="0"/>
              <w:adjustRightInd w:val="0"/>
              <w:jc w:val="center"/>
            </w:pPr>
            <w:r w:rsidRPr="0054344B">
              <w:t>YES</w:t>
            </w:r>
          </w:p>
        </w:tc>
        <w:tc>
          <w:tcPr>
            <w:tcW w:w="2016" w:type="dxa"/>
            <w:tcBorders>
              <w:top w:val="nil"/>
              <w:left w:val="nil"/>
              <w:bottom w:val="single" w:sz="4" w:space="0" w:color="auto"/>
              <w:right w:val="nil"/>
            </w:tcBorders>
          </w:tcPr>
          <w:p w14:paraId="6E3205DD" w14:textId="77777777" w:rsidR="00086EAE" w:rsidRPr="0054344B" w:rsidRDefault="00086EAE" w:rsidP="00086EAE">
            <w:pPr>
              <w:widowControl w:val="0"/>
              <w:autoSpaceDE w:val="0"/>
              <w:autoSpaceDN w:val="0"/>
              <w:adjustRightInd w:val="0"/>
              <w:jc w:val="center"/>
            </w:pPr>
            <w:r w:rsidRPr="0054344B">
              <w:t>(0.05)</w:t>
            </w:r>
          </w:p>
          <w:p w14:paraId="1017E7A0" w14:textId="77777777" w:rsidR="00086EAE" w:rsidRPr="0054344B" w:rsidRDefault="00086EAE" w:rsidP="00086EAE">
            <w:pPr>
              <w:widowControl w:val="0"/>
              <w:autoSpaceDE w:val="0"/>
              <w:autoSpaceDN w:val="0"/>
              <w:adjustRightInd w:val="0"/>
              <w:jc w:val="center"/>
            </w:pPr>
            <w:r w:rsidRPr="0054344B">
              <w:t>YES</w:t>
            </w:r>
          </w:p>
        </w:tc>
      </w:tr>
      <w:tr w:rsidR="00086EAE" w:rsidRPr="0054344B" w14:paraId="38D2407C" w14:textId="77777777" w:rsidTr="00086EAE">
        <w:tc>
          <w:tcPr>
            <w:tcW w:w="1656" w:type="dxa"/>
            <w:tcBorders>
              <w:top w:val="single" w:sz="4" w:space="0" w:color="auto"/>
              <w:left w:val="nil"/>
              <w:bottom w:val="nil"/>
              <w:right w:val="nil"/>
            </w:tcBorders>
          </w:tcPr>
          <w:p w14:paraId="08D6303E" w14:textId="77777777" w:rsidR="00086EAE" w:rsidRPr="0054344B" w:rsidRDefault="00086EAE" w:rsidP="00086EAE">
            <w:pPr>
              <w:widowControl w:val="0"/>
              <w:autoSpaceDE w:val="0"/>
              <w:autoSpaceDN w:val="0"/>
              <w:adjustRightInd w:val="0"/>
            </w:pPr>
            <w:r w:rsidRPr="0054344B">
              <w:rPr>
                <w:i/>
                <w:iCs/>
              </w:rPr>
              <w:t>N</w:t>
            </w:r>
          </w:p>
        </w:tc>
        <w:tc>
          <w:tcPr>
            <w:tcW w:w="2016" w:type="dxa"/>
            <w:tcBorders>
              <w:top w:val="single" w:sz="4" w:space="0" w:color="auto"/>
              <w:left w:val="nil"/>
              <w:bottom w:val="nil"/>
              <w:right w:val="nil"/>
            </w:tcBorders>
          </w:tcPr>
          <w:p w14:paraId="1C057F89" w14:textId="77777777" w:rsidR="00086EAE" w:rsidRPr="0054344B" w:rsidRDefault="00086EAE" w:rsidP="00086EAE">
            <w:pPr>
              <w:widowControl w:val="0"/>
              <w:autoSpaceDE w:val="0"/>
              <w:autoSpaceDN w:val="0"/>
              <w:adjustRightInd w:val="0"/>
              <w:jc w:val="center"/>
            </w:pPr>
            <w:r w:rsidRPr="0054344B">
              <w:t>441</w:t>
            </w:r>
          </w:p>
        </w:tc>
        <w:tc>
          <w:tcPr>
            <w:tcW w:w="2016" w:type="dxa"/>
            <w:tcBorders>
              <w:top w:val="single" w:sz="4" w:space="0" w:color="auto"/>
              <w:left w:val="nil"/>
              <w:bottom w:val="nil"/>
              <w:right w:val="nil"/>
            </w:tcBorders>
          </w:tcPr>
          <w:p w14:paraId="19FA77CA" w14:textId="77777777" w:rsidR="00086EAE" w:rsidRPr="0054344B" w:rsidRDefault="00086EAE" w:rsidP="00086EAE">
            <w:pPr>
              <w:widowControl w:val="0"/>
              <w:autoSpaceDE w:val="0"/>
              <w:autoSpaceDN w:val="0"/>
              <w:adjustRightInd w:val="0"/>
              <w:jc w:val="center"/>
            </w:pPr>
            <w:r w:rsidRPr="0054344B">
              <w:t>189</w:t>
            </w:r>
          </w:p>
        </w:tc>
      </w:tr>
      <w:tr w:rsidR="00086EAE" w:rsidRPr="0054344B" w14:paraId="3454DFAC" w14:textId="77777777" w:rsidTr="00086EAE">
        <w:tc>
          <w:tcPr>
            <w:tcW w:w="1656" w:type="dxa"/>
            <w:tcBorders>
              <w:top w:val="nil"/>
              <w:left w:val="nil"/>
              <w:bottom w:val="nil"/>
              <w:right w:val="nil"/>
            </w:tcBorders>
          </w:tcPr>
          <w:p w14:paraId="7500AACD" w14:textId="77777777" w:rsidR="00086EAE" w:rsidRPr="0054344B" w:rsidRDefault="00086EAE" w:rsidP="00086EAE">
            <w:pPr>
              <w:widowControl w:val="0"/>
              <w:autoSpaceDE w:val="0"/>
              <w:autoSpaceDN w:val="0"/>
              <w:adjustRightInd w:val="0"/>
            </w:pPr>
            <w:r w:rsidRPr="0054344B">
              <w:rPr>
                <w:i/>
                <w:iCs/>
              </w:rPr>
              <w:t>R</w:t>
            </w:r>
            <w:r w:rsidRPr="0054344B">
              <w:rPr>
                <w:vertAlign w:val="superscript"/>
              </w:rPr>
              <w:t>2</w:t>
            </w:r>
          </w:p>
        </w:tc>
        <w:tc>
          <w:tcPr>
            <w:tcW w:w="2016" w:type="dxa"/>
            <w:tcBorders>
              <w:top w:val="nil"/>
              <w:left w:val="nil"/>
              <w:bottom w:val="nil"/>
              <w:right w:val="nil"/>
            </w:tcBorders>
          </w:tcPr>
          <w:p w14:paraId="35A56339" w14:textId="77777777" w:rsidR="00086EAE" w:rsidRPr="0054344B" w:rsidRDefault="00086EAE" w:rsidP="00086EAE">
            <w:pPr>
              <w:widowControl w:val="0"/>
              <w:autoSpaceDE w:val="0"/>
              <w:autoSpaceDN w:val="0"/>
              <w:adjustRightInd w:val="0"/>
              <w:jc w:val="center"/>
            </w:pPr>
            <w:r w:rsidRPr="0054344B">
              <w:t>0.206</w:t>
            </w:r>
          </w:p>
        </w:tc>
        <w:tc>
          <w:tcPr>
            <w:tcW w:w="2016" w:type="dxa"/>
            <w:tcBorders>
              <w:top w:val="nil"/>
              <w:left w:val="nil"/>
              <w:bottom w:val="nil"/>
              <w:right w:val="nil"/>
            </w:tcBorders>
          </w:tcPr>
          <w:p w14:paraId="24DC5926" w14:textId="77777777" w:rsidR="00086EAE" w:rsidRPr="0054344B" w:rsidRDefault="00086EAE" w:rsidP="00086EAE">
            <w:pPr>
              <w:widowControl w:val="0"/>
              <w:autoSpaceDE w:val="0"/>
              <w:autoSpaceDN w:val="0"/>
              <w:adjustRightInd w:val="0"/>
              <w:jc w:val="center"/>
            </w:pPr>
            <w:r w:rsidRPr="0054344B">
              <w:t>0.194</w:t>
            </w:r>
          </w:p>
        </w:tc>
      </w:tr>
      <w:tr w:rsidR="00086EAE" w:rsidRPr="0054344B" w14:paraId="08F7289D" w14:textId="77777777" w:rsidTr="00086EAE">
        <w:tc>
          <w:tcPr>
            <w:tcW w:w="1656" w:type="dxa"/>
            <w:tcBorders>
              <w:top w:val="nil"/>
              <w:left w:val="nil"/>
              <w:bottom w:val="single" w:sz="4" w:space="0" w:color="auto"/>
              <w:right w:val="nil"/>
            </w:tcBorders>
          </w:tcPr>
          <w:p w14:paraId="37158D4C" w14:textId="77777777" w:rsidR="00086EAE" w:rsidRPr="0054344B" w:rsidRDefault="00086EAE" w:rsidP="00086EAE">
            <w:pPr>
              <w:widowControl w:val="0"/>
              <w:autoSpaceDE w:val="0"/>
              <w:autoSpaceDN w:val="0"/>
              <w:adjustRightInd w:val="0"/>
            </w:pPr>
            <w:r w:rsidRPr="0054344B">
              <w:t>p</w:t>
            </w:r>
          </w:p>
        </w:tc>
        <w:tc>
          <w:tcPr>
            <w:tcW w:w="2016" w:type="dxa"/>
            <w:tcBorders>
              <w:top w:val="nil"/>
              <w:left w:val="nil"/>
              <w:bottom w:val="single" w:sz="4" w:space="0" w:color="auto"/>
              <w:right w:val="nil"/>
            </w:tcBorders>
          </w:tcPr>
          <w:p w14:paraId="50DA5ED8" w14:textId="77777777" w:rsidR="00086EAE" w:rsidRPr="0054344B" w:rsidRDefault="00086EAE" w:rsidP="00086EAE">
            <w:pPr>
              <w:widowControl w:val="0"/>
              <w:autoSpaceDE w:val="0"/>
              <w:autoSpaceDN w:val="0"/>
              <w:adjustRightInd w:val="0"/>
              <w:jc w:val="center"/>
            </w:pPr>
            <w:r w:rsidRPr="0054344B">
              <w:t>0.000</w:t>
            </w:r>
          </w:p>
        </w:tc>
        <w:tc>
          <w:tcPr>
            <w:tcW w:w="2016" w:type="dxa"/>
            <w:tcBorders>
              <w:top w:val="nil"/>
              <w:left w:val="nil"/>
              <w:bottom w:val="single" w:sz="4" w:space="0" w:color="auto"/>
              <w:right w:val="nil"/>
            </w:tcBorders>
          </w:tcPr>
          <w:p w14:paraId="6475742F" w14:textId="77777777" w:rsidR="00086EAE" w:rsidRPr="0054344B" w:rsidRDefault="00086EAE" w:rsidP="00086EAE">
            <w:pPr>
              <w:widowControl w:val="0"/>
              <w:autoSpaceDE w:val="0"/>
              <w:autoSpaceDN w:val="0"/>
              <w:adjustRightInd w:val="0"/>
              <w:jc w:val="center"/>
            </w:pPr>
            <w:r w:rsidRPr="0054344B">
              <w:t>0.000</w:t>
            </w:r>
          </w:p>
        </w:tc>
      </w:tr>
    </w:tbl>
    <w:p w14:paraId="0CDDB3FA" w14:textId="77777777" w:rsidR="00086EAE" w:rsidRPr="005B25FF" w:rsidRDefault="00086EAE" w:rsidP="00086EAE">
      <w:pPr>
        <w:widowControl w:val="0"/>
        <w:autoSpaceDE w:val="0"/>
        <w:autoSpaceDN w:val="0"/>
        <w:adjustRightInd w:val="0"/>
        <w:rPr>
          <w:iCs/>
          <w:sz w:val="16"/>
          <w:szCs w:val="16"/>
        </w:rPr>
      </w:pPr>
      <w:r w:rsidRPr="0054344B">
        <w:rPr>
          <w:i/>
          <w:iCs/>
          <w:sz w:val="16"/>
          <w:szCs w:val="16"/>
        </w:rPr>
        <w:t>Note</w:t>
      </w:r>
      <w:r w:rsidRPr="0054344B">
        <w:rPr>
          <w:iCs/>
          <w:sz w:val="16"/>
          <w:szCs w:val="16"/>
        </w:rPr>
        <w:t>: This table presents the estimated coefficients and the p-value of the variables, examining the effects of</w:t>
      </w:r>
      <w:r w:rsidR="004F6DAD" w:rsidRPr="0054344B">
        <w:rPr>
          <w:iCs/>
          <w:sz w:val="16"/>
          <w:szCs w:val="16"/>
        </w:rPr>
        <w:t xml:space="preserve"> an</w:t>
      </w:r>
      <w:r w:rsidR="003673A0" w:rsidRPr="0054344B">
        <w:rPr>
          <w:iCs/>
          <w:sz w:val="16"/>
          <w:szCs w:val="16"/>
        </w:rPr>
        <w:t xml:space="preserve"> AC</w:t>
      </w:r>
      <w:r w:rsidRPr="0054344B">
        <w:rPr>
          <w:iCs/>
          <w:sz w:val="16"/>
          <w:szCs w:val="16"/>
        </w:rPr>
        <w:t xml:space="preserve"> during the pre</w:t>
      </w:r>
      <w:r w:rsidR="00192E1F" w:rsidRPr="0054344B">
        <w:rPr>
          <w:iCs/>
          <w:sz w:val="16"/>
          <w:szCs w:val="16"/>
        </w:rPr>
        <w:t>-</w:t>
      </w:r>
      <w:r w:rsidRPr="0054344B">
        <w:rPr>
          <w:iCs/>
          <w:sz w:val="16"/>
          <w:szCs w:val="16"/>
        </w:rPr>
        <w:t xml:space="preserve"> and post</w:t>
      </w:r>
      <w:r w:rsidR="00192E1F" w:rsidRPr="0054344B">
        <w:rPr>
          <w:iCs/>
          <w:sz w:val="16"/>
          <w:szCs w:val="16"/>
        </w:rPr>
        <w:t>-</w:t>
      </w:r>
      <w:r w:rsidRPr="0054344B">
        <w:rPr>
          <w:iCs/>
          <w:sz w:val="16"/>
          <w:szCs w:val="16"/>
        </w:rPr>
        <w:t>financial crisis on</w:t>
      </w:r>
      <w:r w:rsidR="004F6DAD" w:rsidRPr="0054344B">
        <w:rPr>
          <w:iCs/>
          <w:sz w:val="16"/>
          <w:szCs w:val="16"/>
        </w:rPr>
        <w:t xml:space="preserve"> a</w:t>
      </w:r>
      <w:r w:rsidRPr="0054344B">
        <w:rPr>
          <w:iCs/>
          <w:sz w:val="16"/>
          <w:szCs w:val="16"/>
        </w:rPr>
        <w:t xml:space="preserve"> firm’s financial performance, where performance is measured by Tobin’s Q.   The remaining variables </w:t>
      </w:r>
      <w:r w:rsidR="004F6DAD" w:rsidRPr="0054344B">
        <w:rPr>
          <w:iCs/>
          <w:sz w:val="16"/>
          <w:szCs w:val="16"/>
        </w:rPr>
        <w:t>are</w:t>
      </w:r>
      <w:r w:rsidRPr="0054344B">
        <w:rPr>
          <w:iCs/>
          <w:sz w:val="16"/>
          <w:szCs w:val="16"/>
        </w:rPr>
        <w:t xml:space="preserve"> explained in </w:t>
      </w:r>
      <w:r w:rsidR="004F6DAD" w:rsidRPr="0054344B">
        <w:rPr>
          <w:iCs/>
          <w:sz w:val="16"/>
          <w:szCs w:val="16"/>
        </w:rPr>
        <w:t>T</w:t>
      </w:r>
      <w:r w:rsidRPr="0054344B">
        <w:rPr>
          <w:iCs/>
          <w:sz w:val="16"/>
          <w:szCs w:val="16"/>
        </w:rPr>
        <w:t>able</w:t>
      </w:r>
      <w:r w:rsidR="004F6DAD" w:rsidRPr="0054344B">
        <w:rPr>
          <w:iCs/>
          <w:sz w:val="16"/>
          <w:szCs w:val="16"/>
        </w:rPr>
        <w:t>s</w:t>
      </w:r>
      <w:r w:rsidRPr="0054344B">
        <w:rPr>
          <w:iCs/>
          <w:sz w:val="16"/>
          <w:szCs w:val="16"/>
        </w:rPr>
        <w:t xml:space="preserve"> 1 &amp; 2</w:t>
      </w:r>
      <w:r w:rsidRPr="0054344B">
        <w:rPr>
          <w:sz w:val="16"/>
          <w:szCs w:val="16"/>
        </w:rPr>
        <w:t xml:space="preserve">. ***, ** and * denote correlation </w:t>
      </w:r>
      <w:r w:rsidR="004F6DAD" w:rsidRPr="0054344B">
        <w:rPr>
          <w:sz w:val="16"/>
          <w:szCs w:val="16"/>
        </w:rPr>
        <w:t xml:space="preserve">and are </w:t>
      </w:r>
      <w:r w:rsidRPr="0054344B">
        <w:rPr>
          <w:sz w:val="16"/>
          <w:szCs w:val="16"/>
        </w:rPr>
        <w:t>significant at the 1%, 5% and 10% level, respectively.</w:t>
      </w:r>
    </w:p>
    <w:p w14:paraId="304E465A" w14:textId="77777777" w:rsidR="00086EAE" w:rsidRDefault="00086EAE" w:rsidP="00086EAE">
      <w:pPr>
        <w:widowControl w:val="0"/>
        <w:autoSpaceDE w:val="0"/>
        <w:autoSpaceDN w:val="0"/>
        <w:adjustRightInd w:val="0"/>
        <w:jc w:val="both"/>
        <w:rPr>
          <w:sz w:val="16"/>
          <w:szCs w:val="16"/>
        </w:rPr>
      </w:pPr>
    </w:p>
    <w:p w14:paraId="45EDBDF1" w14:textId="77777777" w:rsidR="00086EAE" w:rsidRDefault="00086EAE" w:rsidP="00086EAE">
      <w:pPr>
        <w:widowControl w:val="0"/>
        <w:autoSpaceDE w:val="0"/>
        <w:autoSpaceDN w:val="0"/>
        <w:adjustRightInd w:val="0"/>
        <w:jc w:val="both"/>
        <w:rPr>
          <w:sz w:val="16"/>
          <w:szCs w:val="16"/>
        </w:rPr>
      </w:pPr>
    </w:p>
    <w:p w14:paraId="4C9C98D2" w14:textId="77777777" w:rsidR="00086EAE" w:rsidRDefault="00086EAE" w:rsidP="00086EAE">
      <w:pPr>
        <w:widowControl w:val="0"/>
        <w:autoSpaceDE w:val="0"/>
        <w:autoSpaceDN w:val="0"/>
        <w:adjustRightInd w:val="0"/>
        <w:jc w:val="both"/>
        <w:rPr>
          <w:sz w:val="16"/>
          <w:szCs w:val="16"/>
        </w:rPr>
      </w:pPr>
    </w:p>
    <w:p w14:paraId="2E9F9B10" w14:textId="77777777" w:rsidR="00086EAE" w:rsidRDefault="00086EAE" w:rsidP="00086EAE">
      <w:pPr>
        <w:widowControl w:val="0"/>
        <w:autoSpaceDE w:val="0"/>
        <w:autoSpaceDN w:val="0"/>
        <w:adjustRightInd w:val="0"/>
        <w:jc w:val="both"/>
        <w:rPr>
          <w:sz w:val="16"/>
          <w:szCs w:val="16"/>
        </w:rPr>
      </w:pPr>
    </w:p>
    <w:p w14:paraId="3C0C886F" w14:textId="77777777" w:rsidR="00086EAE" w:rsidRDefault="00086EAE" w:rsidP="00086EAE">
      <w:pPr>
        <w:widowControl w:val="0"/>
        <w:autoSpaceDE w:val="0"/>
        <w:autoSpaceDN w:val="0"/>
        <w:adjustRightInd w:val="0"/>
        <w:jc w:val="both"/>
        <w:rPr>
          <w:sz w:val="16"/>
          <w:szCs w:val="16"/>
        </w:rPr>
      </w:pPr>
    </w:p>
    <w:p w14:paraId="47DAD913" w14:textId="77777777" w:rsidR="00086EAE" w:rsidRDefault="00086EAE" w:rsidP="00086EAE"/>
    <w:p w14:paraId="31C68412" w14:textId="77777777" w:rsidR="00086EAE" w:rsidRDefault="00086EAE"/>
    <w:sectPr w:rsidR="00086EAE" w:rsidSect="00E21987">
      <w:footerReference w:type="even" r:id="rId20"/>
      <w:footerReference w:type="default" r:id="rId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EB685" w14:textId="77777777" w:rsidR="00525060" w:rsidRDefault="00525060" w:rsidP="0079376A">
      <w:r>
        <w:separator/>
      </w:r>
    </w:p>
  </w:endnote>
  <w:endnote w:type="continuationSeparator" w:id="0">
    <w:p w14:paraId="1EFDB431" w14:textId="77777777" w:rsidR="00525060" w:rsidRDefault="00525060" w:rsidP="0079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swiss"/>
    <w:pitch w:val="fixed"/>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exusSansWebPro">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13C9" w14:textId="77777777" w:rsidR="008A3D47" w:rsidRDefault="008A3D47" w:rsidP="00086EAE">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6E81EC4B" w14:textId="77777777" w:rsidR="008A3D47" w:rsidRDefault="008A3D47" w:rsidP="00086E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6675" w14:textId="7C0E42BA" w:rsidR="008A3D47" w:rsidRPr="004818FF" w:rsidRDefault="008A3D47" w:rsidP="004818FF">
    <w:pPr>
      <w:pStyle w:val="Footer"/>
      <w:framePr w:wrap="around" w:vAnchor="text" w:hAnchor="margin" w:xAlign="outside" w:y="1"/>
      <w:rPr>
        <w:rStyle w:val="PageNumber"/>
        <w:rFonts w:eastAsia="Calibri"/>
        <w:sz w:val="26"/>
        <w:szCs w:val="26"/>
      </w:rPr>
    </w:pPr>
    <w:r w:rsidRPr="004818FF">
      <w:rPr>
        <w:rStyle w:val="PageNumber"/>
        <w:rFonts w:eastAsia="Calibri"/>
        <w:sz w:val="26"/>
        <w:szCs w:val="26"/>
      </w:rPr>
      <w:fldChar w:fldCharType="begin"/>
    </w:r>
    <w:r w:rsidRPr="004818FF">
      <w:rPr>
        <w:rStyle w:val="PageNumber"/>
        <w:rFonts w:eastAsia="Calibri"/>
        <w:sz w:val="26"/>
        <w:szCs w:val="26"/>
      </w:rPr>
      <w:instrText xml:space="preserve">PAGE  </w:instrText>
    </w:r>
    <w:r w:rsidRPr="004818FF">
      <w:rPr>
        <w:rStyle w:val="PageNumber"/>
        <w:rFonts w:eastAsia="Calibri"/>
        <w:sz w:val="26"/>
        <w:szCs w:val="26"/>
      </w:rPr>
      <w:fldChar w:fldCharType="separate"/>
    </w:r>
    <w:r w:rsidR="00143032">
      <w:rPr>
        <w:rStyle w:val="PageNumber"/>
        <w:rFonts w:eastAsia="Calibri"/>
        <w:sz w:val="26"/>
        <w:szCs w:val="26"/>
      </w:rPr>
      <w:t>28</w:t>
    </w:r>
    <w:r w:rsidRPr="004818FF">
      <w:rPr>
        <w:rStyle w:val="PageNumber"/>
        <w:rFonts w:eastAsia="Calibri"/>
        <w:sz w:val="26"/>
        <w:szCs w:val="26"/>
      </w:rPr>
      <w:fldChar w:fldCharType="end"/>
    </w:r>
  </w:p>
  <w:p w14:paraId="6B6A7C8E" w14:textId="77777777" w:rsidR="008A3D47" w:rsidRDefault="008A3D47" w:rsidP="00086EA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5263A" w14:textId="77777777" w:rsidR="008A3D47" w:rsidRDefault="008A3D47" w:rsidP="00857E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81E50" w14:textId="77777777" w:rsidR="008A3D47" w:rsidRDefault="008A3D47" w:rsidP="0079376A">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0152" w14:textId="1EE4CF38" w:rsidR="008A3D47" w:rsidRPr="00E25502" w:rsidRDefault="008A3D47" w:rsidP="00E25502">
    <w:pPr>
      <w:pStyle w:val="Footer"/>
      <w:framePr w:wrap="none" w:vAnchor="text" w:hAnchor="margin" w:xAlign="outside" w:y="1"/>
      <w:rPr>
        <w:rStyle w:val="PageNumber"/>
        <w:sz w:val="26"/>
        <w:szCs w:val="26"/>
      </w:rPr>
    </w:pPr>
    <w:r w:rsidRPr="00E25502">
      <w:rPr>
        <w:rStyle w:val="PageNumber"/>
        <w:sz w:val="26"/>
        <w:szCs w:val="26"/>
      </w:rPr>
      <w:fldChar w:fldCharType="begin"/>
    </w:r>
    <w:r w:rsidRPr="00E25502">
      <w:rPr>
        <w:rStyle w:val="PageNumber"/>
        <w:sz w:val="26"/>
        <w:szCs w:val="26"/>
      </w:rPr>
      <w:instrText xml:space="preserve">PAGE  </w:instrText>
    </w:r>
    <w:r w:rsidRPr="00E25502">
      <w:rPr>
        <w:rStyle w:val="PageNumber"/>
        <w:sz w:val="26"/>
        <w:szCs w:val="26"/>
      </w:rPr>
      <w:fldChar w:fldCharType="separate"/>
    </w:r>
    <w:r w:rsidR="00143032">
      <w:rPr>
        <w:rStyle w:val="PageNumber"/>
        <w:sz w:val="26"/>
        <w:szCs w:val="26"/>
      </w:rPr>
      <w:t>29</w:t>
    </w:r>
    <w:r w:rsidRPr="00E25502">
      <w:rPr>
        <w:rStyle w:val="PageNumber"/>
        <w:sz w:val="26"/>
        <w:szCs w:val="26"/>
      </w:rPr>
      <w:fldChar w:fldCharType="end"/>
    </w:r>
  </w:p>
  <w:p w14:paraId="0DCD79E3" w14:textId="77777777" w:rsidR="008A3D47" w:rsidRDefault="008A3D47" w:rsidP="007937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15C9D" w14:textId="77777777" w:rsidR="00525060" w:rsidRDefault="00525060" w:rsidP="0079376A">
      <w:r>
        <w:separator/>
      </w:r>
    </w:p>
  </w:footnote>
  <w:footnote w:type="continuationSeparator" w:id="0">
    <w:p w14:paraId="2E1E8110" w14:textId="77777777" w:rsidR="00525060" w:rsidRDefault="00525060" w:rsidP="0079376A">
      <w:r>
        <w:continuationSeparator/>
      </w:r>
    </w:p>
  </w:footnote>
  <w:footnote w:id="1">
    <w:p w14:paraId="22AED8E2" w14:textId="77777777" w:rsidR="008A3D47" w:rsidRPr="00E25502" w:rsidRDefault="008A3D47" w:rsidP="00BF0E75">
      <w:pPr>
        <w:pStyle w:val="BodyText"/>
        <w:spacing w:before="52" w:line="240" w:lineRule="exact"/>
        <w:ind w:right="409"/>
        <w:rPr>
          <w:rFonts w:eastAsiaTheme="minorHAnsi"/>
          <w:sz w:val="20"/>
          <w:szCs w:val="20"/>
          <w:lang w:val="en-GB"/>
        </w:rPr>
      </w:pPr>
      <w:r w:rsidRPr="00E25502">
        <w:rPr>
          <w:rStyle w:val="FootnoteReference"/>
          <w:rFonts w:eastAsia="Cambria"/>
          <w:sz w:val="20"/>
          <w:szCs w:val="20"/>
        </w:rPr>
        <w:footnoteRef/>
      </w:r>
      <w:r w:rsidRPr="00E25502">
        <w:rPr>
          <w:sz w:val="20"/>
          <w:szCs w:val="20"/>
        </w:rPr>
        <w:t xml:space="preserve"> , </w:t>
      </w:r>
      <w:r w:rsidRPr="00E25502">
        <w:rPr>
          <w:rStyle w:val="FootnoteReference"/>
          <w:rFonts w:eastAsia="Cambria"/>
          <w:sz w:val="20"/>
          <w:szCs w:val="20"/>
        </w:rPr>
        <w:t>2</w:t>
      </w:r>
      <w:r w:rsidRPr="00E25502">
        <w:rPr>
          <w:sz w:val="20"/>
          <w:szCs w:val="20"/>
        </w:rPr>
        <w:t xml:space="preserve"> </w:t>
      </w:r>
      <w:r w:rsidRPr="00E25502">
        <w:rPr>
          <w:rFonts w:eastAsiaTheme="minorHAnsi"/>
          <w:sz w:val="20"/>
          <w:szCs w:val="20"/>
          <w:lang w:val="en-GB"/>
        </w:rPr>
        <w:t>Turku school of Economics, University of Turku-Finland</w:t>
      </w:r>
    </w:p>
    <w:p w14:paraId="28C30EAD" w14:textId="77777777" w:rsidR="008A3D47" w:rsidRPr="00E25502" w:rsidRDefault="008A3D47" w:rsidP="00BF0E75">
      <w:pPr>
        <w:pStyle w:val="Default"/>
        <w:spacing w:line="240" w:lineRule="exact"/>
        <w:jc w:val="both"/>
        <w:rPr>
          <w:color w:val="auto"/>
          <w:sz w:val="20"/>
          <w:szCs w:val="20"/>
        </w:rPr>
      </w:pPr>
      <w:r w:rsidRPr="00E25502">
        <w:rPr>
          <w:color w:val="auto"/>
          <w:sz w:val="20"/>
          <w:szCs w:val="20"/>
        </w:rPr>
        <w:t xml:space="preserve">Department of Accounting and Finance, </w:t>
      </w:r>
      <w:proofErr w:type="spellStart"/>
      <w:r w:rsidRPr="00E25502">
        <w:rPr>
          <w:color w:val="auto"/>
          <w:sz w:val="20"/>
          <w:szCs w:val="20"/>
        </w:rPr>
        <w:t>Rehtorinpellonkatu</w:t>
      </w:r>
      <w:proofErr w:type="spellEnd"/>
      <w:r w:rsidRPr="00E25502">
        <w:rPr>
          <w:color w:val="auto"/>
          <w:sz w:val="20"/>
          <w:szCs w:val="20"/>
        </w:rPr>
        <w:t xml:space="preserve"> 3, 20500 Turku </w:t>
      </w:r>
    </w:p>
    <w:p w14:paraId="36B95948" w14:textId="63ABB204" w:rsidR="008A3D47" w:rsidRPr="00E25502" w:rsidRDefault="008A3D47" w:rsidP="00BF0E75">
      <w:pPr>
        <w:spacing w:line="240" w:lineRule="exact"/>
        <w:jc w:val="both"/>
        <w:rPr>
          <w:sz w:val="20"/>
          <w:szCs w:val="20"/>
          <w:lang w:val="en-US"/>
        </w:rPr>
      </w:pPr>
      <w:r w:rsidRPr="00E25502">
        <w:rPr>
          <w:sz w:val="20"/>
          <w:szCs w:val="20"/>
        </w:rPr>
        <w:t>Postal Address: 20014 Turun yliopisto Finland</w:t>
      </w:r>
    </w:p>
  </w:footnote>
  <w:footnote w:id="2">
    <w:p w14:paraId="7FA2E19D" w14:textId="77777777" w:rsidR="008A3D47" w:rsidRPr="00E25502" w:rsidRDefault="008A3D47" w:rsidP="00BF0E75">
      <w:pPr>
        <w:pStyle w:val="FootnoteText"/>
        <w:jc w:val="both"/>
        <w:rPr>
          <w:rFonts w:ascii="Times New Roman" w:hAnsi="Times New Roman"/>
          <w:lang w:val="en-US"/>
        </w:rPr>
      </w:pPr>
    </w:p>
  </w:footnote>
  <w:footnote w:id="3">
    <w:p w14:paraId="0F8D5480" w14:textId="77777777" w:rsidR="008A3D47" w:rsidRPr="00E25502" w:rsidRDefault="008A3D47" w:rsidP="00BF0E75">
      <w:pPr>
        <w:pStyle w:val="FootnoteText"/>
        <w:jc w:val="both"/>
        <w:rPr>
          <w:rFonts w:ascii="Times New Roman" w:hAnsi="Times New Roman"/>
          <w:lang w:val="en-US"/>
        </w:rPr>
      </w:pPr>
      <w:r w:rsidRPr="00E25502">
        <w:rPr>
          <w:rStyle w:val="FootnoteReference"/>
          <w:rFonts w:ascii="Times New Roman" w:hAnsi="Times New Roman"/>
        </w:rPr>
        <w:footnoteRef/>
      </w:r>
      <w:r w:rsidRPr="00E25502">
        <w:rPr>
          <w:rFonts w:ascii="Times New Roman" w:hAnsi="Times New Roman"/>
        </w:rPr>
        <w:t xml:space="preserve"> The UK Government has an 82% stake in RBS as a result of bailing out the bank with taxpayers’ money.</w:t>
      </w:r>
    </w:p>
  </w:footnote>
  <w:footnote w:id="4">
    <w:p w14:paraId="3BEF61EE" w14:textId="2B2CC3E7" w:rsidR="008A3D47" w:rsidRPr="00E25502" w:rsidRDefault="008A3D47" w:rsidP="00BF0E75">
      <w:pPr>
        <w:pStyle w:val="FootnoteText"/>
        <w:jc w:val="both"/>
        <w:rPr>
          <w:rFonts w:ascii="Times New Roman" w:hAnsi="Times New Roman"/>
          <w:lang w:val="en-US"/>
        </w:rPr>
      </w:pPr>
      <w:r w:rsidRPr="00E25502">
        <w:rPr>
          <w:rStyle w:val="FootnoteReference"/>
          <w:rFonts w:ascii="Times New Roman" w:hAnsi="Times New Roman"/>
        </w:rPr>
        <w:footnoteRef/>
      </w:r>
      <w:r w:rsidRPr="00E25502">
        <w:rPr>
          <w:rFonts w:ascii="Times New Roman" w:hAnsi="Times New Roman"/>
        </w:rPr>
        <w:t xml:space="preserve"> http://www.bbc.co.uk/news/business-20811289, accessed 16/01/17.</w:t>
      </w:r>
    </w:p>
  </w:footnote>
  <w:footnote w:id="5">
    <w:p w14:paraId="698CC079" w14:textId="39136304" w:rsidR="008A3D47" w:rsidRPr="00E25502" w:rsidRDefault="008A3D47" w:rsidP="00BF0E75">
      <w:pPr>
        <w:pStyle w:val="FootnoteText"/>
        <w:jc w:val="both"/>
        <w:rPr>
          <w:rFonts w:ascii="Times New Roman" w:hAnsi="Times New Roman"/>
          <w:lang w:val="en-US"/>
        </w:rPr>
      </w:pPr>
      <w:r w:rsidRPr="00E25502">
        <w:rPr>
          <w:rStyle w:val="FootnoteReference"/>
          <w:rFonts w:ascii="Times New Roman" w:hAnsi="Times New Roman"/>
        </w:rPr>
        <w:footnoteRef/>
      </w:r>
      <w:r w:rsidRPr="00E25502">
        <w:rPr>
          <w:rFonts w:ascii="Times New Roman" w:hAnsi="Times New Roman"/>
        </w:rPr>
        <w:t xml:space="preserve"> http://www.bbc.co.uk/news/business-20811289, accessed 16/01/17.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8E6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032BB16"/>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415AAA3C"/>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D5F820EE"/>
    <w:lvl w:ilvl="0">
      <w:start w:val="1"/>
      <w:numFmt w:val="decimal"/>
      <w:pStyle w:val="ListNumber3"/>
      <w:lvlText w:val="%1."/>
      <w:lvlJc w:val="left"/>
      <w:pPr>
        <w:tabs>
          <w:tab w:val="num" w:pos="926"/>
        </w:tabs>
        <w:ind w:left="926" w:hanging="360"/>
      </w:pPr>
    </w:lvl>
  </w:abstractNum>
  <w:abstractNum w:abstractNumId="4">
    <w:nsid w:val="FFFFFF7F"/>
    <w:multiLevelType w:val="singleLevel"/>
    <w:tmpl w:val="39CE04C4"/>
    <w:lvl w:ilvl="0">
      <w:start w:val="1"/>
      <w:numFmt w:val="decimal"/>
      <w:pStyle w:val="ListNumber2"/>
      <w:lvlText w:val="%1."/>
      <w:lvlJc w:val="left"/>
      <w:pPr>
        <w:tabs>
          <w:tab w:val="num" w:pos="643"/>
        </w:tabs>
        <w:ind w:left="643" w:hanging="360"/>
      </w:pPr>
    </w:lvl>
  </w:abstractNum>
  <w:abstractNum w:abstractNumId="5">
    <w:nsid w:val="FFFFFF80"/>
    <w:multiLevelType w:val="singleLevel"/>
    <w:tmpl w:val="F07A0AB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581EEE58"/>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800CBB5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83851A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20501076"/>
    <w:lvl w:ilvl="0">
      <w:start w:val="1"/>
      <w:numFmt w:val="decimal"/>
      <w:pStyle w:val="ListNumber"/>
      <w:lvlText w:val="%1."/>
      <w:lvlJc w:val="left"/>
      <w:pPr>
        <w:tabs>
          <w:tab w:val="num" w:pos="360"/>
        </w:tabs>
        <w:ind w:left="360" w:hanging="360"/>
      </w:pPr>
    </w:lvl>
  </w:abstractNum>
  <w:abstractNum w:abstractNumId="10">
    <w:nsid w:val="FFFFFF89"/>
    <w:multiLevelType w:val="singleLevel"/>
    <w:tmpl w:val="BC2C8FD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9E827388"/>
    <w:lvl w:ilvl="0">
      <w:numFmt w:val="decimal"/>
      <w:lvlText w:val="*"/>
      <w:lvlJc w:val="left"/>
    </w:lvl>
  </w:abstractNum>
  <w:abstractNum w:abstractNumId="12">
    <w:nsid w:val="02F0654A"/>
    <w:multiLevelType w:val="hybridMultilevel"/>
    <w:tmpl w:val="4EAEE836"/>
    <w:lvl w:ilvl="0" w:tplc="6D96B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4D114D"/>
    <w:multiLevelType w:val="hybridMultilevel"/>
    <w:tmpl w:val="78862652"/>
    <w:lvl w:ilvl="0" w:tplc="D4E6258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696B34"/>
    <w:multiLevelType w:val="multilevel"/>
    <w:tmpl w:val="1AA209FA"/>
    <w:lvl w:ilvl="0">
      <w:start w:val="1"/>
      <w:numFmt w:val="decimal"/>
      <w:pStyle w:val="Heading1"/>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54E3469"/>
    <w:multiLevelType w:val="multilevel"/>
    <w:tmpl w:val="9AF40A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lvl w:ilvl="0">
        <w:numFmt w:val="bullet"/>
        <w:lvlText w:val=""/>
        <w:legacy w:legacy="1" w:legacySpace="0" w:legacyIndent="360"/>
        <w:lvlJc w:val="left"/>
        <w:rPr>
          <w:rFonts w:ascii="Symbol" w:hAnsi="Symbol" w:hint="default"/>
        </w:rPr>
      </w:lvl>
    </w:lvlOverride>
  </w:num>
  <w:num w:numId="2">
    <w:abstractNumId w:val="15"/>
  </w:num>
  <w:num w:numId="3">
    <w:abstractNumId w:val="14"/>
  </w:num>
  <w:num w:numId="4">
    <w:abstractNumId w:val="12"/>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6A"/>
    <w:rsid w:val="0000132B"/>
    <w:rsid w:val="000142EF"/>
    <w:rsid w:val="00017132"/>
    <w:rsid w:val="000225E4"/>
    <w:rsid w:val="000354BE"/>
    <w:rsid w:val="0004075C"/>
    <w:rsid w:val="00054A98"/>
    <w:rsid w:val="00083E40"/>
    <w:rsid w:val="00086EAE"/>
    <w:rsid w:val="000875DB"/>
    <w:rsid w:val="00094D53"/>
    <w:rsid w:val="00097E41"/>
    <w:rsid w:val="000A2A53"/>
    <w:rsid w:val="000C0778"/>
    <w:rsid w:val="000C6F99"/>
    <w:rsid w:val="000E1B62"/>
    <w:rsid w:val="001003C4"/>
    <w:rsid w:val="00111E62"/>
    <w:rsid w:val="001138A5"/>
    <w:rsid w:val="001218EE"/>
    <w:rsid w:val="00127CCC"/>
    <w:rsid w:val="00130435"/>
    <w:rsid w:val="00143009"/>
    <w:rsid w:val="00143032"/>
    <w:rsid w:val="00147C7E"/>
    <w:rsid w:val="00170ADB"/>
    <w:rsid w:val="001759D8"/>
    <w:rsid w:val="001817A3"/>
    <w:rsid w:val="00192E1F"/>
    <w:rsid w:val="001A2277"/>
    <w:rsid w:val="001A451C"/>
    <w:rsid w:val="001B6EDA"/>
    <w:rsid w:val="001F1832"/>
    <w:rsid w:val="00201D66"/>
    <w:rsid w:val="0020625E"/>
    <w:rsid w:val="002207A8"/>
    <w:rsid w:val="0022285B"/>
    <w:rsid w:val="00222E65"/>
    <w:rsid w:val="00227029"/>
    <w:rsid w:val="00242E6A"/>
    <w:rsid w:val="00254270"/>
    <w:rsid w:val="0026476F"/>
    <w:rsid w:val="002745BE"/>
    <w:rsid w:val="002750FF"/>
    <w:rsid w:val="002B1E5A"/>
    <w:rsid w:val="002D08A3"/>
    <w:rsid w:val="002D251A"/>
    <w:rsid w:val="002F2EC4"/>
    <w:rsid w:val="00303818"/>
    <w:rsid w:val="00310ADF"/>
    <w:rsid w:val="00316D36"/>
    <w:rsid w:val="00317BFB"/>
    <w:rsid w:val="0032007F"/>
    <w:rsid w:val="0033200C"/>
    <w:rsid w:val="00332F64"/>
    <w:rsid w:val="00337DD7"/>
    <w:rsid w:val="00346230"/>
    <w:rsid w:val="003669E5"/>
    <w:rsid w:val="003673A0"/>
    <w:rsid w:val="00367687"/>
    <w:rsid w:val="00372883"/>
    <w:rsid w:val="00377D98"/>
    <w:rsid w:val="00386539"/>
    <w:rsid w:val="0038662A"/>
    <w:rsid w:val="003A5B25"/>
    <w:rsid w:val="003B0223"/>
    <w:rsid w:val="003C23CC"/>
    <w:rsid w:val="003C4128"/>
    <w:rsid w:val="003C6B86"/>
    <w:rsid w:val="003D67D6"/>
    <w:rsid w:val="003E447F"/>
    <w:rsid w:val="00412F11"/>
    <w:rsid w:val="00427E4B"/>
    <w:rsid w:val="004348D9"/>
    <w:rsid w:val="00455B37"/>
    <w:rsid w:val="004602F6"/>
    <w:rsid w:val="00461E97"/>
    <w:rsid w:val="0046717F"/>
    <w:rsid w:val="004703C8"/>
    <w:rsid w:val="00472B5F"/>
    <w:rsid w:val="004818FF"/>
    <w:rsid w:val="00491273"/>
    <w:rsid w:val="004C0818"/>
    <w:rsid w:val="004E0903"/>
    <w:rsid w:val="004E2626"/>
    <w:rsid w:val="004F6DAD"/>
    <w:rsid w:val="0050299F"/>
    <w:rsid w:val="00511946"/>
    <w:rsid w:val="005136A1"/>
    <w:rsid w:val="00513840"/>
    <w:rsid w:val="00515A17"/>
    <w:rsid w:val="00525060"/>
    <w:rsid w:val="005323F6"/>
    <w:rsid w:val="0053495D"/>
    <w:rsid w:val="0053779F"/>
    <w:rsid w:val="005418BB"/>
    <w:rsid w:val="0054344B"/>
    <w:rsid w:val="00546C2E"/>
    <w:rsid w:val="00547BEC"/>
    <w:rsid w:val="00563D41"/>
    <w:rsid w:val="005A30B6"/>
    <w:rsid w:val="005E3FF3"/>
    <w:rsid w:val="005F6485"/>
    <w:rsid w:val="006022E1"/>
    <w:rsid w:val="0063220D"/>
    <w:rsid w:val="00654199"/>
    <w:rsid w:val="006568ED"/>
    <w:rsid w:val="00663B57"/>
    <w:rsid w:val="006727D2"/>
    <w:rsid w:val="0069736E"/>
    <w:rsid w:val="006B0285"/>
    <w:rsid w:val="006C2B68"/>
    <w:rsid w:val="006C310B"/>
    <w:rsid w:val="006C342E"/>
    <w:rsid w:val="007055E6"/>
    <w:rsid w:val="00714499"/>
    <w:rsid w:val="0071581B"/>
    <w:rsid w:val="00730659"/>
    <w:rsid w:val="00730696"/>
    <w:rsid w:val="0074670E"/>
    <w:rsid w:val="00751A9B"/>
    <w:rsid w:val="00764DEE"/>
    <w:rsid w:val="00772363"/>
    <w:rsid w:val="00787CCF"/>
    <w:rsid w:val="0079376A"/>
    <w:rsid w:val="007944C4"/>
    <w:rsid w:val="007C2EE5"/>
    <w:rsid w:val="007D2D1A"/>
    <w:rsid w:val="007E1FB5"/>
    <w:rsid w:val="007F2BDE"/>
    <w:rsid w:val="007F2E6B"/>
    <w:rsid w:val="008060A2"/>
    <w:rsid w:val="00811EAB"/>
    <w:rsid w:val="00811EC1"/>
    <w:rsid w:val="00814560"/>
    <w:rsid w:val="00820E9D"/>
    <w:rsid w:val="0083323C"/>
    <w:rsid w:val="008414C1"/>
    <w:rsid w:val="008501CD"/>
    <w:rsid w:val="008552BC"/>
    <w:rsid w:val="00857EC1"/>
    <w:rsid w:val="008626AD"/>
    <w:rsid w:val="008A0C44"/>
    <w:rsid w:val="008A3580"/>
    <w:rsid w:val="008A3D47"/>
    <w:rsid w:val="008A756E"/>
    <w:rsid w:val="008B33FC"/>
    <w:rsid w:val="008E1111"/>
    <w:rsid w:val="008E5E45"/>
    <w:rsid w:val="008F6B46"/>
    <w:rsid w:val="00911B65"/>
    <w:rsid w:val="009215A7"/>
    <w:rsid w:val="0093526B"/>
    <w:rsid w:val="00945E73"/>
    <w:rsid w:val="0095769B"/>
    <w:rsid w:val="009621CA"/>
    <w:rsid w:val="00966795"/>
    <w:rsid w:val="00981B5A"/>
    <w:rsid w:val="00996952"/>
    <w:rsid w:val="009C0AC1"/>
    <w:rsid w:val="009D15EE"/>
    <w:rsid w:val="009D75D4"/>
    <w:rsid w:val="009E64B6"/>
    <w:rsid w:val="009F2AC7"/>
    <w:rsid w:val="00A15A32"/>
    <w:rsid w:val="00A23F25"/>
    <w:rsid w:val="00A271C4"/>
    <w:rsid w:val="00A40F25"/>
    <w:rsid w:val="00A50713"/>
    <w:rsid w:val="00A63FFD"/>
    <w:rsid w:val="00A66878"/>
    <w:rsid w:val="00A77B25"/>
    <w:rsid w:val="00A8507B"/>
    <w:rsid w:val="00A875CB"/>
    <w:rsid w:val="00A904FF"/>
    <w:rsid w:val="00AD024F"/>
    <w:rsid w:val="00AD3FCE"/>
    <w:rsid w:val="00B03E1E"/>
    <w:rsid w:val="00B174A5"/>
    <w:rsid w:val="00B20C0B"/>
    <w:rsid w:val="00B252F0"/>
    <w:rsid w:val="00B34714"/>
    <w:rsid w:val="00B401A3"/>
    <w:rsid w:val="00B4416B"/>
    <w:rsid w:val="00B7097E"/>
    <w:rsid w:val="00B76741"/>
    <w:rsid w:val="00B81F5C"/>
    <w:rsid w:val="00B90F44"/>
    <w:rsid w:val="00BB4B2B"/>
    <w:rsid w:val="00BC1B28"/>
    <w:rsid w:val="00BC4AD3"/>
    <w:rsid w:val="00BD21D2"/>
    <w:rsid w:val="00BE3871"/>
    <w:rsid w:val="00BE42E2"/>
    <w:rsid w:val="00BE7B85"/>
    <w:rsid w:val="00BF0E75"/>
    <w:rsid w:val="00BF14DF"/>
    <w:rsid w:val="00C11A97"/>
    <w:rsid w:val="00C22CDC"/>
    <w:rsid w:val="00C23F06"/>
    <w:rsid w:val="00C56C7D"/>
    <w:rsid w:val="00C57A05"/>
    <w:rsid w:val="00C61702"/>
    <w:rsid w:val="00C7187F"/>
    <w:rsid w:val="00C734B6"/>
    <w:rsid w:val="00C87AFD"/>
    <w:rsid w:val="00C9183C"/>
    <w:rsid w:val="00C94643"/>
    <w:rsid w:val="00C97DFE"/>
    <w:rsid w:val="00CA7D27"/>
    <w:rsid w:val="00CB5018"/>
    <w:rsid w:val="00CC162D"/>
    <w:rsid w:val="00CC2A6D"/>
    <w:rsid w:val="00CD6520"/>
    <w:rsid w:val="00CF0478"/>
    <w:rsid w:val="00D25291"/>
    <w:rsid w:val="00D27441"/>
    <w:rsid w:val="00D32C75"/>
    <w:rsid w:val="00D350EB"/>
    <w:rsid w:val="00D60392"/>
    <w:rsid w:val="00D74949"/>
    <w:rsid w:val="00D75AA8"/>
    <w:rsid w:val="00D77C10"/>
    <w:rsid w:val="00D82C73"/>
    <w:rsid w:val="00D95B61"/>
    <w:rsid w:val="00D973F5"/>
    <w:rsid w:val="00DA4F23"/>
    <w:rsid w:val="00DC1C86"/>
    <w:rsid w:val="00DC41C4"/>
    <w:rsid w:val="00DD1F37"/>
    <w:rsid w:val="00DE31BF"/>
    <w:rsid w:val="00DE777C"/>
    <w:rsid w:val="00DE7F32"/>
    <w:rsid w:val="00DF2F34"/>
    <w:rsid w:val="00E21987"/>
    <w:rsid w:val="00E21F8B"/>
    <w:rsid w:val="00E25502"/>
    <w:rsid w:val="00E4016F"/>
    <w:rsid w:val="00E576D4"/>
    <w:rsid w:val="00E7566B"/>
    <w:rsid w:val="00E868A5"/>
    <w:rsid w:val="00E902B6"/>
    <w:rsid w:val="00E92F21"/>
    <w:rsid w:val="00EC3E33"/>
    <w:rsid w:val="00EC6B1E"/>
    <w:rsid w:val="00ED2971"/>
    <w:rsid w:val="00ED4D12"/>
    <w:rsid w:val="00F13455"/>
    <w:rsid w:val="00F149AB"/>
    <w:rsid w:val="00F21021"/>
    <w:rsid w:val="00F260A7"/>
    <w:rsid w:val="00F363EE"/>
    <w:rsid w:val="00F36F53"/>
    <w:rsid w:val="00F44064"/>
    <w:rsid w:val="00F45355"/>
    <w:rsid w:val="00F45CB4"/>
    <w:rsid w:val="00F56AE0"/>
    <w:rsid w:val="00F56BD2"/>
    <w:rsid w:val="00F57D41"/>
    <w:rsid w:val="00F732F0"/>
    <w:rsid w:val="00F76FDA"/>
    <w:rsid w:val="00FA4C32"/>
    <w:rsid w:val="00FA68CD"/>
    <w:rsid w:val="00FB7BE6"/>
    <w:rsid w:val="00FE7B08"/>
    <w:rsid w:val="00FF1A1E"/>
    <w:rsid w:val="00FF4E3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0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376A"/>
    <w:rPr>
      <w:rFonts w:ascii="Times New Roman" w:eastAsia="Times New Roman" w:hAnsi="Times New Roman" w:cs="Times New Roman"/>
      <w:noProof/>
      <w:lang w:eastAsia="en-GB"/>
    </w:rPr>
  </w:style>
  <w:style w:type="paragraph" w:styleId="Heading1">
    <w:name w:val="heading 1"/>
    <w:basedOn w:val="ColorfulList-Accent11"/>
    <w:next w:val="Normal"/>
    <w:link w:val="Heading1Char"/>
    <w:uiPriority w:val="9"/>
    <w:qFormat/>
    <w:rsid w:val="004348D9"/>
    <w:pPr>
      <w:widowControl w:val="0"/>
      <w:numPr>
        <w:numId w:val="3"/>
      </w:numPr>
      <w:autoSpaceDE w:val="0"/>
      <w:autoSpaceDN w:val="0"/>
      <w:adjustRightInd w:val="0"/>
      <w:spacing w:before="680" w:after="340"/>
      <w:ind w:left="113" w:hanging="113"/>
      <w:jc w:val="both"/>
      <w:outlineLvl w:val="0"/>
    </w:pPr>
    <w:rPr>
      <w:rFonts w:ascii="Times New Roman" w:hAnsi="Times New Roman"/>
      <w:caps/>
      <w:sz w:val="36"/>
      <w:szCs w:val="36"/>
      <w:lang w:val="en-GB"/>
    </w:rPr>
  </w:style>
  <w:style w:type="paragraph" w:styleId="Heading2">
    <w:name w:val="heading 2"/>
    <w:basedOn w:val="Normal"/>
    <w:next w:val="Normal"/>
    <w:link w:val="Heading2Char"/>
    <w:qFormat/>
    <w:rsid w:val="00BF0E75"/>
    <w:pPr>
      <w:keepNext/>
      <w:autoSpaceDE w:val="0"/>
      <w:autoSpaceDN w:val="0"/>
      <w:adjustRightInd w:val="0"/>
      <w:spacing w:before="680" w:after="340" w:line="340" w:lineRule="atLeast"/>
      <w:ind w:left="680" w:hanging="680"/>
      <w:outlineLvl w:val="1"/>
    </w:pPr>
    <w:rPr>
      <w:i/>
      <w:iCs/>
      <w:noProof w:val="0"/>
      <w:sz w:val="28"/>
      <w:szCs w:val="28"/>
    </w:rPr>
  </w:style>
  <w:style w:type="paragraph" w:styleId="Heading3">
    <w:name w:val="heading 3"/>
    <w:basedOn w:val="Normal"/>
    <w:next w:val="Normal"/>
    <w:link w:val="Heading3Char"/>
    <w:uiPriority w:val="9"/>
    <w:qFormat/>
    <w:rsid w:val="00086EAE"/>
    <w:pPr>
      <w:keepNext/>
      <w:keepLines/>
      <w:spacing w:before="40"/>
      <w:outlineLvl w:val="2"/>
    </w:pPr>
    <w:rPr>
      <w:rFonts w:ascii="Cambria" w:eastAsia="MS Gothic" w:hAnsi="Cambria"/>
      <w:noProof w:val="0"/>
      <w:color w:val="243F60"/>
      <w:lang w:val="en-US" w:eastAsia="en-US"/>
    </w:rPr>
  </w:style>
  <w:style w:type="paragraph" w:styleId="Heading4">
    <w:name w:val="heading 4"/>
    <w:basedOn w:val="Normal"/>
    <w:next w:val="Normal"/>
    <w:link w:val="Heading4Char"/>
    <w:uiPriority w:val="9"/>
    <w:qFormat/>
    <w:rsid w:val="00086EAE"/>
    <w:pPr>
      <w:keepNext/>
      <w:keepLines/>
      <w:spacing w:before="40"/>
      <w:outlineLvl w:val="3"/>
    </w:pPr>
    <w:rPr>
      <w:rFonts w:ascii="Cambria" w:eastAsia="MS Gothic" w:hAnsi="Cambria"/>
      <w:i/>
      <w:iCs/>
      <w:noProof w:val="0"/>
      <w:color w:val="365F91"/>
      <w:lang w:val="en-US" w:eastAsia="en-US"/>
    </w:rPr>
  </w:style>
  <w:style w:type="paragraph" w:styleId="Heading5">
    <w:name w:val="heading 5"/>
    <w:basedOn w:val="Normal"/>
    <w:next w:val="Normal"/>
    <w:link w:val="Heading5Char"/>
    <w:uiPriority w:val="9"/>
    <w:qFormat/>
    <w:rsid w:val="00086EAE"/>
    <w:pPr>
      <w:keepNext/>
      <w:keepLines/>
      <w:spacing w:before="40"/>
      <w:outlineLvl w:val="4"/>
    </w:pPr>
    <w:rPr>
      <w:rFonts w:ascii="Cambria" w:eastAsia="MS Gothic" w:hAnsi="Cambria"/>
      <w:noProof w:val="0"/>
      <w:color w:val="365F91"/>
      <w:lang w:val="en-US" w:eastAsia="en-US"/>
    </w:rPr>
  </w:style>
  <w:style w:type="paragraph" w:styleId="Heading6">
    <w:name w:val="heading 6"/>
    <w:basedOn w:val="Normal"/>
    <w:next w:val="Normal"/>
    <w:link w:val="Heading6Char"/>
    <w:uiPriority w:val="9"/>
    <w:qFormat/>
    <w:rsid w:val="00086EAE"/>
    <w:pPr>
      <w:keepNext/>
      <w:keepLines/>
      <w:spacing w:before="40"/>
      <w:outlineLvl w:val="5"/>
    </w:pPr>
    <w:rPr>
      <w:rFonts w:ascii="Cambria" w:eastAsia="MS Gothic" w:hAnsi="Cambria"/>
      <w:noProof w:val="0"/>
      <w:color w:val="243F60"/>
      <w:lang w:val="en-US" w:eastAsia="en-US"/>
    </w:rPr>
  </w:style>
  <w:style w:type="paragraph" w:styleId="Heading7">
    <w:name w:val="heading 7"/>
    <w:basedOn w:val="Normal"/>
    <w:next w:val="Normal"/>
    <w:link w:val="Heading7Char"/>
    <w:uiPriority w:val="9"/>
    <w:qFormat/>
    <w:rsid w:val="00086EAE"/>
    <w:pPr>
      <w:keepNext/>
      <w:keepLines/>
      <w:spacing w:before="40"/>
      <w:outlineLvl w:val="6"/>
    </w:pPr>
    <w:rPr>
      <w:rFonts w:ascii="Cambria" w:eastAsia="MS Gothic" w:hAnsi="Cambria"/>
      <w:i/>
      <w:iCs/>
      <w:noProof w:val="0"/>
      <w:color w:val="243F60"/>
      <w:lang w:val="en-US" w:eastAsia="en-US"/>
    </w:rPr>
  </w:style>
  <w:style w:type="paragraph" w:styleId="Heading8">
    <w:name w:val="heading 8"/>
    <w:basedOn w:val="Normal"/>
    <w:next w:val="Normal"/>
    <w:link w:val="Heading8Char"/>
    <w:uiPriority w:val="9"/>
    <w:qFormat/>
    <w:rsid w:val="00086EAE"/>
    <w:pPr>
      <w:keepNext/>
      <w:keepLines/>
      <w:spacing w:before="40"/>
      <w:outlineLvl w:val="7"/>
    </w:pPr>
    <w:rPr>
      <w:rFonts w:ascii="Cambria" w:eastAsia="MS Gothic" w:hAnsi="Cambria"/>
      <w:noProof w:val="0"/>
      <w:color w:val="272727"/>
      <w:sz w:val="21"/>
      <w:szCs w:val="21"/>
      <w:lang w:val="en-US" w:eastAsia="en-US"/>
    </w:rPr>
  </w:style>
  <w:style w:type="paragraph" w:styleId="Heading9">
    <w:name w:val="heading 9"/>
    <w:basedOn w:val="Normal"/>
    <w:next w:val="Normal"/>
    <w:link w:val="Heading9Char"/>
    <w:uiPriority w:val="9"/>
    <w:qFormat/>
    <w:rsid w:val="00086EAE"/>
    <w:pPr>
      <w:keepNext/>
      <w:keepLines/>
      <w:spacing w:before="40"/>
      <w:outlineLvl w:val="8"/>
    </w:pPr>
    <w:rPr>
      <w:rFonts w:ascii="Cambria" w:eastAsia="MS Gothic" w:hAnsi="Cambria"/>
      <w:i/>
      <w:iCs/>
      <w:noProof w:val="0"/>
      <w:color w:val="272727"/>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8D9"/>
    <w:rPr>
      <w:rFonts w:ascii="Times New Roman" w:eastAsia="MS Mincho" w:hAnsi="Times New Roman" w:cs="Times New Roman"/>
      <w:caps/>
      <w:sz w:val="36"/>
      <w:szCs w:val="36"/>
    </w:rPr>
  </w:style>
  <w:style w:type="character" w:customStyle="1" w:styleId="Heading2Char">
    <w:name w:val="Heading 2 Char"/>
    <w:basedOn w:val="DefaultParagraphFont"/>
    <w:link w:val="Heading2"/>
    <w:rsid w:val="00BF0E75"/>
    <w:rPr>
      <w:rFonts w:ascii="Times New Roman" w:eastAsia="Times New Roman" w:hAnsi="Times New Roman" w:cs="Times New Roman"/>
      <w:i/>
      <w:iCs/>
      <w:sz w:val="28"/>
      <w:szCs w:val="28"/>
      <w:lang w:eastAsia="en-GB"/>
    </w:rPr>
  </w:style>
  <w:style w:type="character" w:customStyle="1" w:styleId="Heading3Char">
    <w:name w:val="Heading 3 Char"/>
    <w:basedOn w:val="DefaultParagraphFont"/>
    <w:link w:val="Heading3"/>
    <w:uiPriority w:val="9"/>
    <w:rsid w:val="00086EAE"/>
    <w:rPr>
      <w:rFonts w:ascii="Cambria" w:eastAsia="MS Gothic" w:hAnsi="Cambria" w:cs="Times New Roman"/>
      <w:color w:val="243F60"/>
      <w:lang w:val="en-US"/>
    </w:rPr>
  </w:style>
  <w:style w:type="character" w:customStyle="1" w:styleId="Heading4Char">
    <w:name w:val="Heading 4 Char"/>
    <w:basedOn w:val="DefaultParagraphFont"/>
    <w:link w:val="Heading4"/>
    <w:uiPriority w:val="9"/>
    <w:rsid w:val="00086EAE"/>
    <w:rPr>
      <w:rFonts w:ascii="Cambria" w:eastAsia="MS Gothic" w:hAnsi="Cambria" w:cs="Times New Roman"/>
      <w:i/>
      <w:iCs/>
      <w:color w:val="365F91"/>
      <w:lang w:val="en-US"/>
    </w:rPr>
  </w:style>
  <w:style w:type="character" w:customStyle="1" w:styleId="Heading5Char">
    <w:name w:val="Heading 5 Char"/>
    <w:basedOn w:val="DefaultParagraphFont"/>
    <w:link w:val="Heading5"/>
    <w:uiPriority w:val="9"/>
    <w:rsid w:val="00086EAE"/>
    <w:rPr>
      <w:rFonts w:ascii="Cambria" w:eastAsia="MS Gothic" w:hAnsi="Cambria" w:cs="Times New Roman"/>
      <w:color w:val="365F91"/>
      <w:lang w:val="en-US"/>
    </w:rPr>
  </w:style>
  <w:style w:type="character" w:customStyle="1" w:styleId="Heading6Char">
    <w:name w:val="Heading 6 Char"/>
    <w:basedOn w:val="DefaultParagraphFont"/>
    <w:link w:val="Heading6"/>
    <w:uiPriority w:val="9"/>
    <w:rsid w:val="00086EAE"/>
    <w:rPr>
      <w:rFonts w:ascii="Cambria" w:eastAsia="MS Gothic" w:hAnsi="Cambria" w:cs="Times New Roman"/>
      <w:color w:val="243F60"/>
      <w:lang w:val="en-US"/>
    </w:rPr>
  </w:style>
  <w:style w:type="character" w:customStyle="1" w:styleId="Heading7Char">
    <w:name w:val="Heading 7 Char"/>
    <w:basedOn w:val="DefaultParagraphFont"/>
    <w:link w:val="Heading7"/>
    <w:uiPriority w:val="9"/>
    <w:rsid w:val="00086EAE"/>
    <w:rPr>
      <w:rFonts w:ascii="Cambria" w:eastAsia="MS Gothic" w:hAnsi="Cambria" w:cs="Times New Roman"/>
      <w:i/>
      <w:iCs/>
      <w:color w:val="243F60"/>
      <w:lang w:val="en-US"/>
    </w:rPr>
  </w:style>
  <w:style w:type="character" w:customStyle="1" w:styleId="Heading8Char">
    <w:name w:val="Heading 8 Char"/>
    <w:basedOn w:val="DefaultParagraphFont"/>
    <w:link w:val="Heading8"/>
    <w:uiPriority w:val="9"/>
    <w:rsid w:val="00086EAE"/>
    <w:rPr>
      <w:rFonts w:ascii="Cambria" w:eastAsia="MS Gothic" w:hAnsi="Cambria" w:cs="Times New Roman"/>
      <w:color w:val="272727"/>
      <w:sz w:val="21"/>
      <w:szCs w:val="21"/>
      <w:lang w:val="en-US"/>
    </w:rPr>
  </w:style>
  <w:style w:type="character" w:customStyle="1" w:styleId="Heading9Char">
    <w:name w:val="Heading 9 Char"/>
    <w:basedOn w:val="DefaultParagraphFont"/>
    <w:link w:val="Heading9"/>
    <w:uiPriority w:val="9"/>
    <w:rsid w:val="00086EAE"/>
    <w:rPr>
      <w:rFonts w:ascii="Cambria" w:eastAsia="MS Gothic" w:hAnsi="Cambria" w:cs="Times New Roman"/>
      <w:i/>
      <w:iCs/>
      <w:color w:val="272727"/>
      <w:sz w:val="21"/>
      <w:szCs w:val="21"/>
      <w:lang w:val="en-US"/>
    </w:rPr>
  </w:style>
  <w:style w:type="paragraph" w:customStyle="1" w:styleId="ColorfulList-Accent11">
    <w:name w:val="Colorful List - Accent 11"/>
    <w:basedOn w:val="Normal"/>
    <w:uiPriority w:val="1"/>
    <w:qFormat/>
    <w:rsid w:val="0079376A"/>
    <w:pPr>
      <w:ind w:left="720"/>
      <w:contextualSpacing/>
    </w:pPr>
    <w:rPr>
      <w:rFonts w:ascii="Cambria" w:eastAsia="MS Mincho" w:hAnsi="Cambria"/>
      <w:noProof w:val="0"/>
      <w:lang w:val="en-US" w:eastAsia="en-US"/>
    </w:rPr>
  </w:style>
  <w:style w:type="paragraph" w:styleId="FootnoteText">
    <w:name w:val="footnote text"/>
    <w:basedOn w:val="Normal"/>
    <w:link w:val="FootnoteTextChar"/>
    <w:uiPriority w:val="99"/>
    <w:unhideWhenUsed/>
    <w:rsid w:val="0079376A"/>
    <w:rPr>
      <w:rFonts w:ascii="Cambria" w:eastAsia="Cambria" w:hAnsi="Cambria"/>
      <w:noProof w:val="0"/>
      <w:sz w:val="20"/>
      <w:szCs w:val="20"/>
      <w:lang w:eastAsia="en-US"/>
    </w:rPr>
  </w:style>
  <w:style w:type="character" w:customStyle="1" w:styleId="FootnoteTextChar">
    <w:name w:val="Footnote Text Char"/>
    <w:basedOn w:val="DefaultParagraphFont"/>
    <w:link w:val="FootnoteText"/>
    <w:uiPriority w:val="99"/>
    <w:rsid w:val="0079376A"/>
    <w:rPr>
      <w:rFonts w:ascii="Cambria" w:eastAsia="Cambria" w:hAnsi="Cambria" w:cs="Times New Roman"/>
      <w:sz w:val="20"/>
      <w:szCs w:val="20"/>
    </w:rPr>
  </w:style>
  <w:style w:type="character" w:styleId="FootnoteReference">
    <w:name w:val="footnote reference"/>
    <w:uiPriority w:val="99"/>
    <w:unhideWhenUsed/>
    <w:rsid w:val="0079376A"/>
    <w:rPr>
      <w:vertAlign w:val="superscript"/>
    </w:rPr>
  </w:style>
  <w:style w:type="character" w:styleId="Hyperlink">
    <w:name w:val="Hyperlink"/>
    <w:unhideWhenUsed/>
    <w:rsid w:val="0079376A"/>
    <w:rPr>
      <w:color w:val="0000FF"/>
      <w:u w:val="single"/>
    </w:rPr>
  </w:style>
  <w:style w:type="paragraph" w:styleId="BodyText">
    <w:name w:val="Body Text"/>
    <w:basedOn w:val="Normal"/>
    <w:link w:val="BodyTextChar"/>
    <w:rsid w:val="0079376A"/>
    <w:pPr>
      <w:jc w:val="both"/>
    </w:pPr>
    <w:rPr>
      <w:noProof w:val="0"/>
      <w:lang w:val="en-US" w:eastAsia="en-US"/>
    </w:rPr>
  </w:style>
  <w:style w:type="character" w:customStyle="1" w:styleId="BodyTextChar">
    <w:name w:val="Body Text Char"/>
    <w:basedOn w:val="DefaultParagraphFont"/>
    <w:link w:val="BodyText"/>
    <w:rsid w:val="0079376A"/>
    <w:rPr>
      <w:rFonts w:ascii="Times New Roman" w:eastAsia="Times New Roman" w:hAnsi="Times New Roman" w:cs="Times New Roman"/>
      <w:lang w:val="en-US"/>
    </w:rPr>
  </w:style>
  <w:style w:type="paragraph" w:styleId="ListParagraph">
    <w:name w:val="List Paragraph"/>
    <w:basedOn w:val="Normal"/>
    <w:uiPriority w:val="34"/>
    <w:qFormat/>
    <w:rsid w:val="0079376A"/>
    <w:pPr>
      <w:ind w:left="720"/>
      <w:contextualSpacing/>
    </w:pPr>
  </w:style>
  <w:style w:type="character" w:styleId="FollowedHyperlink">
    <w:name w:val="FollowedHyperlink"/>
    <w:basedOn w:val="DefaultParagraphFont"/>
    <w:uiPriority w:val="99"/>
    <w:semiHidden/>
    <w:unhideWhenUsed/>
    <w:rsid w:val="0079376A"/>
    <w:rPr>
      <w:color w:val="954F72" w:themeColor="followedHyperlink"/>
      <w:u w:val="single"/>
    </w:rPr>
  </w:style>
  <w:style w:type="paragraph" w:styleId="Footer">
    <w:name w:val="footer"/>
    <w:basedOn w:val="Normal"/>
    <w:link w:val="FooterChar"/>
    <w:uiPriority w:val="99"/>
    <w:unhideWhenUsed/>
    <w:rsid w:val="0079376A"/>
    <w:pPr>
      <w:tabs>
        <w:tab w:val="center" w:pos="4513"/>
        <w:tab w:val="right" w:pos="9026"/>
      </w:tabs>
    </w:pPr>
  </w:style>
  <w:style w:type="character" w:customStyle="1" w:styleId="FooterChar">
    <w:name w:val="Footer Char"/>
    <w:basedOn w:val="DefaultParagraphFont"/>
    <w:link w:val="Footer"/>
    <w:uiPriority w:val="99"/>
    <w:rsid w:val="0079376A"/>
    <w:rPr>
      <w:rFonts w:ascii="Times New Roman" w:eastAsia="Times New Roman" w:hAnsi="Times New Roman" w:cs="Times New Roman"/>
      <w:noProof/>
      <w:lang w:eastAsia="en-GB"/>
    </w:rPr>
  </w:style>
  <w:style w:type="character" w:styleId="PageNumber">
    <w:name w:val="page number"/>
    <w:basedOn w:val="DefaultParagraphFont"/>
    <w:uiPriority w:val="99"/>
    <w:semiHidden/>
    <w:unhideWhenUsed/>
    <w:rsid w:val="0079376A"/>
  </w:style>
  <w:style w:type="character" w:customStyle="1" w:styleId="CommentTextChar">
    <w:name w:val="Comment Text Char"/>
    <w:link w:val="CommentText"/>
    <w:uiPriority w:val="99"/>
    <w:semiHidden/>
    <w:rsid w:val="00C56C7D"/>
    <w:rPr>
      <w:rFonts w:ascii="Calibri" w:eastAsia="Calibri" w:hAnsi="Calibri" w:cs="Times New Roman"/>
      <w:sz w:val="20"/>
      <w:szCs w:val="20"/>
    </w:rPr>
  </w:style>
  <w:style w:type="paragraph" w:styleId="CommentText">
    <w:name w:val="annotation text"/>
    <w:basedOn w:val="Normal"/>
    <w:link w:val="CommentTextChar"/>
    <w:uiPriority w:val="99"/>
    <w:semiHidden/>
    <w:rsid w:val="00C56C7D"/>
    <w:pPr>
      <w:spacing w:after="200"/>
    </w:pPr>
    <w:rPr>
      <w:rFonts w:ascii="Calibri" w:eastAsia="Calibri" w:hAnsi="Calibri"/>
      <w:noProof w:val="0"/>
      <w:sz w:val="20"/>
      <w:szCs w:val="20"/>
      <w:lang w:eastAsia="en-US"/>
    </w:rPr>
  </w:style>
  <w:style w:type="character" w:customStyle="1" w:styleId="CommentTextChar1">
    <w:name w:val="Comment Text Char1"/>
    <w:basedOn w:val="DefaultParagraphFont"/>
    <w:uiPriority w:val="99"/>
    <w:semiHidden/>
    <w:rsid w:val="00C56C7D"/>
    <w:rPr>
      <w:rFonts w:ascii="Times New Roman" w:eastAsia="Times New Roman" w:hAnsi="Times New Roman" w:cs="Times New Roman"/>
      <w:noProof/>
      <w:lang w:eastAsia="en-GB"/>
    </w:rPr>
  </w:style>
  <w:style w:type="character" w:styleId="CommentReference">
    <w:name w:val="annotation reference"/>
    <w:basedOn w:val="DefaultParagraphFont"/>
    <w:uiPriority w:val="99"/>
    <w:semiHidden/>
    <w:unhideWhenUsed/>
    <w:rsid w:val="00C56C7D"/>
    <w:rPr>
      <w:sz w:val="16"/>
      <w:szCs w:val="16"/>
    </w:rPr>
  </w:style>
  <w:style w:type="paragraph" w:styleId="BalloonText">
    <w:name w:val="Balloon Text"/>
    <w:basedOn w:val="Normal"/>
    <w:link w:val="BalloonTextChar"/>
    <w:uiPriority w:val="99"/>
    <w:semiHidden/>
    <w:unhideWhenUsed/>
    <w:rsid w:val="00C56C7D"/>
    <w:rPr>
      <w:sz w:val="18"/>
      <w:szCs w:val="18"/>
    </w:rPr>
  </w:style>
  <w:style w:type="character" w:customStyle="1" w:styleId="BalloonTextChar">
    <w:name w:val="Balloon Text Char"/>
    <w:basedOn w:val="DefaultParagraphFont"/>
    <w:link w:val="BalloonText"/>
    <w:uiPriority w:val="99"/>
    <w:semiHidden/>
    <w:rsid w:val="00C56C7D"/>
    <w:rPr>
      <w:rFonts w:ascii="Times New Roman" w:eastAsia="Times New Roman" w:hAnsi="Times New Roman" w:cs="Times New Roman"/>
      <w:noProof/>
      <w:sz w:val="18"/>
      <w:szCs w:val="18"/>
      <w:lang w:eastAsia="en-GB"/>
    </w:rPr>
  </w:style>
  <w:style w:type="paragraph" w:styleId="CommentSubject">
    <w:name w:val="annotation subject"/>
    <w:basedOn w:val="CommentText"/>
    <w:next w:val="CommentText"/>
    <w:link w:val="CommentSubjectChar"/>
    <w:uiPriority w:val="99"/>
    <w:semiHidden/>
    <w:unhideWhenUsed/>
    <w:rsid w:val="008552BC"/>
    <w:pPr>
      <w:spacing w:after="0"/>
    </w:pPr>
    <w:rPr>
      <w:rFonts w:ascii="Times New Roman" w:eastAsia="Times New Roman" w:hAnsi="Times New Roman"/>
      <w:b/>
      <w:bCs/>
      <w:noProof/>
      <w:lang w:eastAsia="en-GB"/>
    </w:rPr>
  </w:style>
  <w:style w:type="character" w:customStyle="1" w:styleId="CommentSubjectChar">
    <w:name w:val="Comment Subject Char"/>
    <w:basedOn w:val="CommentTextChar"/>
    <w:link w:val="CommentSubject"/>
    <w:uiPriority w:val="99"/>
    <w:semiHidden/>
    <w:rsid w:val="008552BC"/>
    <w:rPr>
      <w:rFonts w:ascii="Times New Roman" w:eastAsia="Times New Roman" w:hAnsi="Times New Roman" w:cs="Times New Roman"/>
      <w:b/>
      <w:bCs/>
      <w:noProof/>
      <w:sz w:val="20"/>
      <w:szCs w:val="20"/>
      <w:lang w:eastAsia="en-GB"/>
    </w:rPr>
  </w:style>
  <w:style w:type="paragraph" w:styleId="NormalWeb">
    <w:name w:val="Normal (Web)"/>
    <w:basedOn w:val="Normal"/>
    <w:uiPriority w:val="99"/>
    <w:unhideWhenUsed/>
    <w:rsid w:val="003D67D6"/>
    <w:pPr>
      <w:spacing w:before="100" w:beforeAutospacing="1" w:after="100" w:afterAutospacing="1"/>
    </w:pPr>
    <w:rPr>
      <w:rFonts w:eastAsiaTheme="minorHAnsi"/>
      <w:noProof w:val="0"/>
    </w:rPr>
  </w:style>
  <w:style w:type="character" w:customStyle="1" w:styleId="apple-converted-space">
    <w:name w:val="apple-converted-space"/>
    <w:basedOn w:val="DefaultParagraphFont"/>
    <w:rsid w:val="009C0AC1"/>
  </w:style>
  <w:style w:type="character" w:styleId="HTMLCite">
    <w:name w:val="HTML Cite"/>
    <w:basedOn w:val="DefaultParagraphFont"/>
    <w:uiPriority w:val="99"/>
    <w:semiHidden/>
    <w:unhideWhenUsed/>
    <w:rsid w:val="009C0AC1"/>
    <w:rPr>
      <w:i/>
      <w:iCs/>
    </w:rPr>
  </w:style>
  <w:style w:type="character" w:customStyle="1" w:styleId="current-selection">
    <w:name w:val="current-selection"/>
    <w:basedOn w:val="DefaultParagraphFont"/>
    <w:rsid w:val="00DE7F32"/>
  </w:style>
  <w:style w:type="character" w:customStyle="1" w:styleId="a">
    <w:name w:val="_"/>
    <w:basedOn w:val="DefaultParagraphFont"/>
    <w:rsid w:val="00DE7F32"/>
  </w:style>
  <w:style w:type="paragraph" w:styleId="EndnoteText">
    <w:name w:val="endnote text"/>
    <w:basedOn w:val="Normal"/>
    <w:link w:val="EndnoteTextChar"/>
    <w:uiPriority w:val="99"/>
    <w:unhideWhenUsed/>
    <w:rsid w:val="00086EAE"/>
    <w:rPr>
      <w:rFonts w:ascii="Cambria" w:eastAsia="Cambria" w:hAnsi="Cambria"/>
      <w:noProof w:val="0"/>
      <w:sz w:val="20"/>
      <w:szCs w:val="20"/>
      <w:lang w:eastAsia="en-US"/>
    </w:rPr>
  </w:style>
  <w:style w:type="character" w:customStyle="1" w:styleId="EndnoteTextChar">
    <w:name w:val="Endnote Text Char"/>
    <w:basedOn w:val="DefaultParagraphFont"/>
    <w:link w:val="EndnoteText"/>
    <w:uiPriority w:val="99"/>
    <w:rsid w:val="00086EAE"/>
    <w:rPr>
      <w:rFonts w:ascii="Cambria" w:eastAsia="Cambria" w:hAnsi="Cambria" w:cs="Times New Roman"/>
      <w:sz w:val="20"/>
      <w:szCs w:val="20"/>
    </w:rPr>
  </w:style>
  <w:style w:type="paragraph" w:customStyle="1" w:styleId="MediumGrid21">
    <w:name w:val="Medium Grid 21"/>
    <w:basedOn w:val="Normal"/>
    <w:uiPriority w:val="1"/>
    <w:qFormat/>
    <w:rsid w:val="00086EAE"/>
    <w:rPr>
      <w:rFonts w:ascii="Calibri" w:hAnsi="Calibri"/>
      <w:noProof w:val="0"/>
      <w:sz w:val="22"/>
      <w:szCs w:val="22"/>
      <w:lang w:val="en-US" w:eastAsia="en-US" w:bidi="en-US"/>
    </w:rPr>
  </w:style>
  <w:style w:type="character" w:customStyle="1" w:styleId="BalloonTextChar1">
    <w:name w:val="Balloon Text Char1"/>
    <w:basedOn w:val="DefaultParagraphFont"/>
    <w:uiPriority w:val="99"/>
    <w:semiHidden/>
    <w:rsid w:val="00086EAE"/>
    <w:rPr>
      <w:rFonts w:ascii="Times New Roman" w:eastAsia="Times New Roman" w:hAnsi="Times New Roman" w:cs="Times New Roman"/>
      <w:noProof/>
      <w:sz w:val="18"/>
      <w:szCs w:val="18"/>
      <w:lang w:eastAsia="en-GB"/>
    </w:rPr>
  </w:style>
  <w:style w:type="paragraph" w:styleId="Header">
    <w:name w:val="header"/>
    <w:basedOn w:val="Normal"/>
    <w:link w:val="HeaderChar"/>
    <w:uiPriority w:val="99"/>
    <w:unhideWhenUsed/>
    <w:rsid w:val="00086EAE"/>
    <w:pPr>
      <w:tabs>
        <w:tab w:val="center" w:pos="4513"/>
        <w:tab w:val="right" w:pos="9026"/>
      </w:tabs>
    </w:pPr>
    <w:rPr>
      <w:rFonts w:ascii="Calibri" w:hAnsi="Calibri"/>
      <w:noProof w:val="0"/>
      <w:sz w:val="22"/>
      <w:szCs w:val="22"/>
      <w:lang w:val="en-US" w:eastAsia="en-US" w:bidi="en-US"/>
    </w:rPr>
  </w:style>
  <w:style w:type="character" w:customStyle="1" w:styleId="HeaderChar">
    <w:name w:val="Header Char"/>
    <w:basedOn w:val="DefaultParagraphFont"/>
    <w:link w:val="Header"/>
    <w:uiPriority w:val="99"/>
    <w:rsid w:val="00086EAE"/>
    <w:rPr>
      <w:rFonts w:ascii="Calibri" w:eastAsia="Times New Roman" w:hAnsi="Calibri" w:cs="Times New Roman"/>
      <w:sz w:val="22"/>
      <w:szCs w:val="22"/>
      <w:lang w:val="en-US" w:bidi="en-US"/>
    </w:rPr>
  </w:style>
  <w:style w:type="paragraph" w:customStyle="1" w:styleId="Normaljustifiey">
    <w:name w:val="Normal + justifiey"/>
    <w:basedOn w:val="Normal"/>
    <w:link w:val="NormaljustifieyChar"/>
    <w:rsid w:val="00086EAE"/>
    <w:pPr>
      <w:spacing w:after="200" w:line="276" w:lineRule="auto"/>
    </w:pPr>
    <w:rPr>
      <w:rFonts w:ascii="Calibri" w:hAnsi="Calibri"/>
      <w:noProof w:val="0"/>
      <w:sz w:val="22"/>
      <w:szCs w:val="22"/>
      <w:lang w:val="en-US" w:eastAsia="en-US" w:bidi="en-US"/>
    </w:rPr>
  </w:style>
  <w:style w:type="character" w:customStyle="1" w:styleId="NormaljustifieyChar">
    <w:name w:val="Normal + justifiey Char"/>
    <w:link w:val="Normaljustifiey"/>
    <w:rsid w:val="00086EAE"/>
    <w:rPr>
      <w:rFonts w:ascii="Calibri" w:eastAsia="Times New Roman" w:hAnsi="Calibri" w:cs="Times New Roman"/>
      <w:sz w:val="22"/>
      <w:szCs w:val="22"/>
      <w:lang w:val="en-US" w:bidi="en-US"/>
    </w:rPr>
  </w:style>
  <w:style w:type="paragraph" w:customStyle="1" w:styleId="Style1">
    <w:name w:val="Style1"/>
    <w:basedOn w:val="Normal"/>
    <w:autoRedefine/>
    <w:qFormat/>
    <w:rsid w:val="00086EAE"/>
    <w:pPr>
      <w:spacing w:after="200" w:line="276" w:lineRule="auto"/>
    </w:pPr>
    <w:rPr>
      <w:rFonts w:ascii="Calibri" w:hAnsi="Calibri"/>
      <w:noProof w:val="0"/>
      <w:sz w:val="22"/>
      <w:szCs w:val="22"/>
      <w:lang w:val="en-US" w:eastAsia="en-US" w:bidi="en-US"/>
    </w:rPr>
  </w:style>
  <w:style w:type="character" w:customStyle="1" w:styleId="BodyText2Char">
    <w:name w:val="Body Text 2 Char"/>
    <w:link w:val="BodyText2"/>
    <w:uiPriority w:val="99"/>
    <w:semiHidden/>
    <w:rsid w:val="00086EAE"/>
    <w:rPr>
      <w:rFonts w:ascii="Cambria" w:eastAsia="MS Mincho" w:hAnsi="Cambria"/>
      <w:lang w:val="en-US"/>
    </w:rPr>
  </w:style>
  <w:style w:type="paragraph" w:styleId="BodyText2">
    <w:name w:val="Body Text 2"/>
    <w:basedOn w:val="Normal"/>
    <w:link w:val="BodyText2Char"/>
    <w:uiPriority w:val="99"/>
    <w:semiHidden/>
    <w:unhideWhenUsed/>
    <w:rsid w:val="00086EAE"/>
    <w:pPr>
      <w:spacing w:after="120" w:line="480" w:lineRule="auto"/>
    </w:pPr>
    <w:rPr>
      <w:rFonts w:ascii="Cambria" w:eastAsia="MS Mincho" w:hAnsi="Cambria" w:cstheme="minorBidi"/>
      <w:noProof w:val="0"/>
      <w:lang w:val="en-US" w:eastAsia="en-US"/>
    </w:rPr>
  </w:style>
  <w:style w:type="character" w:customStyle="1" w:styleId="BodyText2Char1">
    <w:name w:val="Body Text 2 Char1"/>
    <w:basedOn w:val="DefaultParagraphFont"/>
    <w:uiPriority w:val="99"/>
    <w:semiHidden/>
    <w:rsid w:val="00086EAE"/>
    <w:rPr>
      <w:rFonts w:ascii="Times New Roman" w:eastAsia="Times New Roman" w:hAnsi="Times New Roman" w:cs="Times New Roman"/>
      <w:noProof/>
      <w:lang w:eastAsia="en-GB"/>
    </w:rPr>
  </w:style>
  <w:style w:type="character" w:customStyle="1" w:styleId="BodyText3Char">
    <w:name w:val="Body Text 3 Char"/>
    <w:link w:val="BodyText3"/>
    <w:uiPriority w:val="99"/>
    <w:semiHidden/>
    <w:rsid w:val="00086EAE"/>
    <w:rPr>
      <w:rFonts w:ascii="Cambria" w:eastAsia="MS Mincho" w:hAnsi="Cambria"/>
      <w:sz w:val="16"/>
      <w:szCs w:val="16"/>
      <w:lang w:val="en-US"/>
    </w:rPr>
  </w:style>
  <w:style w:type="paragraph" w:styleId="BodyText3">
    <w:name w:val="Body Text 3"/>
    <w:basedOn w:val="Normal"/>
    <w:link w:val="BodyText3Char"/>
    <w:uiPriority w:val="99"/>
    <w:semiHidden/>
    <w:unhideWhenUsed/>
    <w:rsid w:val="00086EAE"/>
    <w:pPr>
      <w:spacing w:after="120"/>
    </w:pPr>
    <w:rPr>
      <w:rFonts w:ascii="Cambria" w:eastAsia="MS Mincho" w:hAnsi="Cambria" w:cstheme="minorBidi"/>
      <w:noProof w:val="0"/>
      <w:sz w:val="16"/>
      <w:szCs w:val="16"/>
      <w:lang w:val="en-US" w:eastAsia="en-US"/>
    </w:rPr>
  </w:style>
  <w:style w:type="character" w:customStyle="1" w:styleId="BodyText3Char1">
    <w:name w:val="Body Text 3 Char1"/>
    <w:basedOn w:val="DefaultParagraphFont"/>
    <w:uiPriority w:val="99"/>
    <w:semiHidden/>
    <w:rsid w:val="00086EAE"/>
    <w:rPr>
      <w:rFonts w:ascii="Times New Roman" w:eastAsia="Times New Roman" w:hAnsi="Times New Roman" w:cs="Times New Roman"/>
      <w:noProof/>
      <w:sz w:val="16"/>
      <w:szCs w:val="16"/>
      <w:lang w:eastAsia="en-GB"/>
    </w:rPr>
  </w:style>
  <w:style w:type="character" w:customStyle="1" w:styleId="BodyTextFirstIndentChar">
    <w:name w:val="Body Text First Indent Char"/>
    <w:link w:val="BodyTextFirstIndent"/>
    <w:uiPriority w:val="99"/>
    <w:semiHidden/>
    <w:rsid w:val="00086EAE"/>
    <w:rPr>
      <w:rFonts w:ascii="Cambria" w:eastAsia="MS Mincho" w:hAnsi="Cambria"/>
      <w:lang w:val="en-US"/>
    </w:rPr>
  </w:style>
  <w:style w:type="paragraph" w:styleId="BodyTextFirstIndent">
    <w:name w:val="Body Text First Indent"/>
    <w:basedOn w:val="BodyText"/>
    <w:link w:val="BodyTextFirstIndentChar"/>
    <w:uiPriority w:val="99"/>
    <w:semiHidden/>
    <w:unhideWhenUsed/>
    <w:rsid w:val="00086EAE"/>
    <w:pPr>
      <w:ind w:firstLine="360"/>
      <w:jc w:val="left"/>
    </w:pPr>
    <w:rPr>
      <w:rFonts w:ascii="Cambria" w:eastAsia="MS Mincho" w:hAnsi="Cambria" w:cstheme="minorBidi"/>
    </w:rPr>
  </w:style>
  <w:style w:type="character" w:customStyle="1" w:styleId="BodyTextFirstIndentChar1">
    <w:name w:val="Body Text First Indent Char1"/>
    <w:basedOn w:val="BodyTextChar"/>
    <w:uiPriority w:val="99"/>
    <w:semiHidden/>
    <w:rsid w:val="00086EAE"/>
    <w:rPr>
      <w:rFonts w:ascii="Times New Roman" w:eastAsia="Times New Roman" w:hAnsi="Times New Roman" w:cs="Times New Roman"/>
      <w:noProof/>
      <w:lang w:val="en-US" w:eastAsia="en-GB"/>
    </w:rPr>
  </w:style>
  <w:style w:type="character" w:customStyle="1" w:styleId="BodyTextIndentChar">
    <w:name w:val="Body Text Indent Char"/>
    <w:link w:val="BodyTextIndent"/>
    <w:uiPriority w:val="99"/>
    <w:semiHidden/>
    <w:rsid w:val="00086EAE"/>
    <w:rPr>
      <w:rFonts w:ascii="Cambria" w:eastAsia="MS Mincho" w:hAnsi="Cambria"/>
      <w:lang w:val="en-US"/>
    </w:rPr>
  </w:style>
  <w:style w:type="paragraph" w:styleId="BodyTextIndent">
    <w:name w:val="Body Text Indent"/>
    <w:basedOn w:val="Normal"/>
    <w:link w:val="BodyTextIndentChar"/>
    <w:uiPriority w:val="99"/>
    <w:semiHidden/>
    <w:unhideWhenUsed/>
    <w:rsid w:val="00086EAE"/>
    <w:pPr>
      <w:spacing w:after="120"/>
      <w:ind w:left="283"/>
    </w:pPr>
    <w:rPr>
      <w:rFonts w:ascii="Cambria" w:eastAsia="MS Mincho" w:hAnsi="Cambria" w:cstheme="minorBidi"/>
      <w:noProof w:val="0"/>
      <w:lang w:val="en-US" w:eastAsia="en-US"/>
    </w:rPr>
  </w:style>
  <w:style w:type="character" w:customStyle="1" w:styleId="BodyTextIndentChar1">
    <w:name w:val="Body Text Indent Char1"/>
    <w:basedOn w:val="DefaultParagraphFont"/>
    <w:uiPriority w:val="99"/>
    <w:semiHidden/>
    <w:rsid w:val="00086EAE"/>
    <w:rPr>
      <w:rFonts w:ascii="Times New Roman" w:eastAsia="Times New Roman" w:hAnsi="Times New Roman" w:cs="Times New Roman"/>
      <w:noProof/>
      <w:lang w:eastAsia="en-GB"/>
    </w:rPr>
  </w:style>
  <w:style w:type="character" w:customStyle="1" w:styleId="BodyTextFirstIndent2Char">
    <w:name w:val="Body Text First Indent 2 Char"/>
    <w:basedOn w:val="BodyTextIndentChar"/>
    <w:link w:val="BodyTextFirstIndent2"/>
    <w:uiPriority w:val="99"/>
    <w:semiHidden/>
    <w:rsid w:val="00086EAE"/>
    <w:rPr>
      <w:rFonts w:ascii="Cambria" w:eastAsia="MS Mincho" w:hAnsi="Cambria"/>
      <w:lang w:val="en-US"/>
    </w:rPr>
  </w:style>
  <w:style w:type="paragraph" w:styleId="BodyTextFirstIndent2">
    <w:name w:val="Body Text First Indent 2"/>
    <w:basedOn w:val="BodyTextIndent"/>
    <w:link w:val="BodyTextFirstIndent2Char"/>
    <w:uiPriority w:val="99"/>
    <w:semiHidden/>
    <w:unhideWhenUsed/>
    <w:rsid w:val="00086EAE"/>
    <w:pPr>
      <w:spacing w:after="0"/>
      <w:ind w:left="360" w:firstLine="360"/>
    </w:pPr>
  </w:style>
  <w:style w:type="character" w:customStyle="1" w:styleId="BodyTextFirstIndent2Char1">
    <w:name w:val="Body Text First Indent 2 Char1"/>
    <w:basedOn w:val="BodyTextIndentChar1"/>
    <w:uiPriority w:val="99"/>
    <w:semiHidden/>
    <w:rsid w:val="00086EAE"/>
    <w:rPr>
      <w:rFonts w:ascii="Times New Roman" w:eastAsia="Times New Roman" w:hAnsi="Times New Roman" w:cs="Times New Roman"/>
      <w:noProof/>
      <w:lang w:eastAsia="en-GB"/>
    </w:rPr>
  </w:style>
  <w:style w:type="character" w:customStyle="1" w:styleId="BodyTextIndent2Char">
    <w:name w:val="Body Text Indent 2 Char"/>
    <w:link w:val="BodyTextIndent2"/>
    <w:uiPriority w:val="99"/>
    <w:semiHidden/>
    <w:rsid w:val="00086EAE"/>
    <w:rPr>
      <w:rFonts w:ascii="Cambria" w:eastAsia="MS Mincho" w:hAnsi="Cambria"/>
      <w:lang w:val="en-US"/>
    </w:rPr>
  </w:style>
  <w:style w:type="paragraph" w:styleId="BodyTextIndent2">
    <w:name w:val="Body Text Indent 2"/>
    <w:basedOn w:val="Normal"/>
    <w:link w:val="BodyTextIndent2Char"/>
    <w:uiPriority w:val="99"/>
    <w:semiHidden/>
    <w:unhideWhenUsed/>
    <w:rsid w:val="00086EAE"/>
    <w:pPr>
      <w:spacing w:after="120" w:line="480" w:lineRule="auto"/>
      <w:ind w:left="283"/>
    </w:pPr>
    <w:rPr>
      <w:rFonts w:ascii="Cambria" w:eastAsia="MS Mincho" w:hAnsi="Cambria" w:cstheme="minorBidi"/>
      <w:noProof w:val="0"/>
      <w:lang w:val="en-US" w:eastAsia="en-US"/>
    </w:rPr>
  </w:style>
  <w:style w:type="character" w:customStyle="1" w:styleId="BodyTextIndent2Char1">
    <w:name w:val="Body Text Indent 2 Char1"/>
    <w:basedOn w:val="DefaultParagraphFont"/>
    <w:uiPriority w:val="99"/>
    <w:semiHidden/>
    <w:rsid w:val="00086EAE"/>
    <w:rPr>
      <w:rFonts w:ascii="Times New Roman" w:eastAsia="Times New Roman" w:hAnsi="Times New Roman" w:cs="Times New Roman"/>
      <w:noProof/>
      <w:lang w:eastAsia="en-GB"/>
    </w:rPr>
  </w:style>
  <w:style w:type="character" w:customStyle="1" w:styleId="BodyTextIndent3Char">
    <w:name w:val="Body Text Indent 3 Char"/>
    <w:link w:val="BodyTextIndent3"/>
    <w:uiPriority w:val="99"/>
    <w:semiHidden/>
    <w:rsid w:val="00086EAE"/>
    <w:rPr>
      <w:rFonts w:ascii="Cambria" w:eastAsia="MS Mincho" w:hAnsi="Cambria"/>
      <w:sz w:val="16"/>
      <w:szCs w:val="16"/>
      <w:lang w:val="en-US"/>
    </w:rPr>
  </w:style>
  <w:style w:type="paragraph" w:styleId="BodyTextIndent3">
    <w:name w:val="Body Text Indent 3"/>
    <w:basedOn w:val="Normal"/>
    <w:link w:val="BodyTextIndent3Char"/>
    <w:uiPriority w:val="99"/>
    <w:semiHidden/>
    <w:unhideWhenUsed/>
    <w:rsid w:val="00086EAE"/>
    <w:pPr>
      <w:spacing w:after="120"/>
      <w:ind w:left="283"/>
    </w:pPr>
    <w:rPr>
      <w:rFonts w:ascii="Cambria" w:eastAsia="MS Mincho" w:hAnsi="Cambria" w:cstheme="minorBidi"/>
      <w:noProof w:val="0"/>
      <w:sz w:val="16"/>
      <w:szCs w:val="16"/>
      <w:lang w:val="en-US" w:eastAsia="en-US"/>
    </w:rPr>
  </w:style>
  <w:style w:type="character" w:customStyle="1" w:styleId="BodyTextIndent3Char1">
    <w:name w:val="Body Text Indent 3 Char1"/>
    <w:basedOn w:val="DefaultParagraphFont"/>
    <w:uiPriority w:val="99"/>
    <w:semiHidden/>
    <w:rsid w:val="00086EAE"/>
    <w:rPr>
      <w:rFonts w:ascii="Times New Roman" w:eastAsia="Times New Roman" w:hAnsi="Times New Roman" w:cs="Times New Roman"/>
      <w:noProof/>
      <w:sz w:val="16"/>
      <w:szCs w:val="16"/>
      <w:lang w:eastAsia="en-GB"/>
    </w:rPr>
  </w:style>
  <w:style w:type="character" w:customStyle="1" w:styleId="ClosingChar">
    <w:name w:val="Closing Char"/>
    <w:link w:val="Closing"/>
    <w:uiPriority w:val="99"/>
    <w:semiHidden/>
    <w:rsid w:val="00086EAE"/>
    <w:rPr>
      <w:rFonts w:ascii="Cambria" w:eastAsia="MS Mincho" w:hAnsi="Cambria"/>
      <w:lang w:val="en-US"/>
    </w:rPr>
  </w:style>
  <w:style w:type="paragraph" w:styleId="Closing">
    <w:name w:val="Closing"/>
    <w:basedOn w:val="Normal"/>
    <w:link w:val="ClosingChar"/>
    <w:uiPriority w:val="99"/>
    <w:semiHidden/>
    <w:unhideWhenUsed/>
    <w:rsid w:val="00086EAE"/>
    <w:pPr>
      <w:ind w:left="4252"/>
    </w:pPr>
    <w:rPr>
      <w:rFonts w:ascii="Cambria" w:eastAsia="MS Mincho" w:hAnsi="Cambria" w:cstheme="minorBidi"/>
      <w:noProof w:val="0"/>
      <w:lang w:val="en-US" w:eastAsia="en-US"/>
    </w:rPr>
  </w:style>
  <w:style w:type="character" w:customStyle="1" w:styleId="ClosingChar1">
    <w:name w:val="Closing Char1"/>
    <w:basedOn w:val="DefaultParagraphFont"/>
    <w:uiPriority w:val="99"/>
    <w:semiHidden/>
    <w:rsid w:val="00086EAE"/>
    <w:rPr>
      <w:rFonts w:ascii="Times New Roman" w:eastAsia="Times New Roman" w:hAnsi="Times New Roman" w:cs="Times New Roman"/>
      <w:noProof/>
      <w:lang w:eastAsia="en-GB"/>
    </w:rPr>
  </w:style>
  <w:style w:type="character" w:customStyle="1" w:styleId="DateChar">
    <w:name w:val="Date Char"/>
    <w:link w:val="Date"/>
    <w:uiPriority w:val="99"/>
    <w:semiHidden/>
    <w:rsid w:val="00086EAE"/>
    <w:rPr>
      <w:rFonts w:ascii="Cambria" w:eastAsia="MS Mincho" w:hAnsi="Cambria"/>
      <w:lang w:val="en-US"/>
    </w:rPr>
  </w:style>
  <w:style w:type="paragraph" w:styleId="Date">
    <w:name w:val="Date"/>
    <w:basedOn w:val="Normal"/>
    <w:next w:val="Normal"/>
    <w:link w:val="DateChar"/>
    <w:uiPriority w:val="99"/>
    <w:semiHidden/>
    <w:unhideWhenUsed/>
    <w:rsid w:val="00086EAE"/>
    <w:rPr>
      <w:rFonts w:ascii="Cambria" w:eastAsia="MS Mincho" w:hAnsi="Cambria" w:cstheme="minorBidi"/>
      <w:noProof w:val="0"/>
      <w:lang w:val="en-US" w:eastAsia="en-US"/>
    </w:rPr>
  </w:style>
  <w:style w:type="character" w:customStyle="1" w:styleId="DateChar1">
    <w:name w:val="Date Char1"/>
    <w:basedOn w:val="DefaultParagraphFont"/>
    <w:uiPriority w:val="99"/>
    <w:semiHidden/>
    <w:rsid w:val="00086EAE"/>
    <w:rPr>
      <w:rFonts w:ascii="Times New Roman" w:eastAsia="Times New Roman" w:hAnsi="Times New Roman" w:cs="Times New Roman"/>
      <w:noProof/>
      <w:lang w:eastAsia="en-GB"/>
    </w:rPr>
  </w:style>
  <w:style w:type="character" w:customStyle="1" w:styleId="DocumentMapChar">
    <w:name w:val="Document Map Char"/>
    <w:link w:val="DocumentMap"/>
    <w:uiPriority w:val="99"/>
    <w:semiHidden/>
    <w:rsid w:val="00086EAE"/>
    <w:rPr>
      <w:rFonts w:ascii="Segoe UI" w:eastAsia="MS Mincho" w:hAnsi="Segoe UI" w:cs="Segoe UI"/>
      <w:sz w:val="16"/>
      <w:szCs w:val="16"/>
      <w:lang w:val="en-US"/>
    </w:rPr>
  </w:style>
  <w:style w:type="paragraph" w:styleId="DocumentMap">
    <w:name w:val="Document Map"/>
    <w:basedOn w:val="Normal"/>
    <w:link w:val="DocumentMapChar"/>
    <w:uiPriority w:val="99"/>
    <w:semiHidden/>
    <w:unhideWhenUsed/>
    <w:rsid w:val="00086EAE"/>
    <w:rPr>
      <w:rFonts w:ascii="Segoe UI" w:eastAsia="MS Mincho" w:hAnsi="Segoe UI" w:cs="Segoe UI"/>
      <w:noProof w:val="0"/>
      <w:sz w:val="16"/>
      <w:szCs w:val="16"/>
      <w:lang w:val="en-US" w:eastAsia="en-US"/>
    </w:rPr>
  </w:style>
  <w:style w:type="character" w:customStyle="1" w:styleId="DocumentMapChar1">
    <w:name w:val="Document Map Char1"/>
    <w:basedOn w:val="DefaultParagraphFont"/>
    <w:uiPriority w:val="99"/>
    <w:semiHidden/>
    <w:rsid w:val="00086EAE"/>
    <w:rPr>
      <w:rFonts w:ascii="Times New Roman" w:eastAsia="Times New Roman" w:hAnsi="Times New Roman" w:cs="Times New Roman"/>
      <w:noProof/>
      <w:lang w:eastAsia="en-GB"/>
    </w:rPr>
  </w:style>
  <w:style w:type="character" w:customStyle="1" w:styleId="E-mailSignatureChar">
    <w:name w:val="E-mail Signature Char"/>
    <w:link w:val="E-mailSignature"/>
    <w:uiPriority w:val="99"/>
    <w:semiHidden/>
    <w:rsid w:val="00086EAE"/>
    <w:rPr>
      <w:rFonts w:ascii="Cambria" w:eastAsia="MS Mincho" w:hAnsi="Cambria"/>
      <w:lang w:val="en-US"/>
    </w:rPr>
  </w:style>
  <w:style w:type="paragraph" w:styleId="E-mailSignature">
    <w:name w:val="E-mail Signature"/>
    <w:basedOn w:val="Normal"/>
    <w:link w:val="E-mailSignatureChar"/>
    <w:uiPriority w:val="99"/>
    <w:semiHidden/>
    <w:unhideWhenUsed/>
    <w:rsid w:val="00086EAE"/>
    <w:rPr>
      <w:rFonts w:ascii="Cambria" w:eastAsia="MS Mincho" w:hAnsi="Cambria" w:cstheme="minorBidi"/>
      <w:noProof w:val="0"/>
      <w:lang w:val="en-US" w:eastAsia="en-US"/>
    </w:rPr>
  </w:style>
  <w:style w:type="character" w:customStyle="1" w:styleId="E-mailSignatureChar1">
    <w:name w:val="E-mail Signature Char1"/>
    <w:basedOn w:val="DefaultParagraphFont"/>
    <w:uiPriority w:val="99"/>
    <w:semiHidden/>
    <w:rsid w:val="00086EAE"/>
    <w:rPr>
      <w:rFonts w:ascii="Times New Roman" w:eastAsia="Times New Roman" w:hAnsi="Times New Roman" w:cs="Times New Roman"/>
      <w:noProof/>
      <w:lang w:eastAsia="en-GB"/>
    </w:rPr>
  </w:style>
  <w:style w:type="character" w:customStyle="1" w:styleId="HTMLAddressChar">
    <w:name w:val="HTML Address Char"/>
    <w:link w:val="HTMLAddress"/>
    <w:uiPriority w:val="99"/>
    <w:semiHidden/>
    <w:rsid w:val="00086EAE"/>
    <w:rPr>
      <w:rFonts w:ascii="Cambria" w:eastAsia="MS Mincho" w:hAnsi="Cambria"/>
      <w:i/>
      <w:iCs/>
      <w:lang w:val="en-US"/>
    </w:rPr>
  </w:style>
  <w:style w:type="paragraph" w:styleId="HTMLAddress">
    <w:name w:val="HTML Address"/>
    <w:basedOn w:val="Normal"/>
    <w:link w:val="HTMLAddressChar"/>
    <w:uiPriority w:val="99"/>
    <w:semiHidden/>
    <w:unhideWhenUsed/>
    <w:rsid w:val="00086EAE"/>
    <w:rPr>
      <w:rFonts w:ascii="Cambria" w:eastAsia="MS Mincho" w:hAnsi="Cambria" w:cstheme="minorBidi"/>
      <w:i/>
      <w:iCs/>
      <w:noProof w:val="0"/>
      <w:lang w:val="en-US" w:eastAsia="en-US"/>
    </w:rPr>
  </w:style>
  <w:style w:type="character" w:customStyle="1" w:styleId="HTMLAddressChar1">
    <w:name w:val="HTML Address Char1"/>
    <w:basedOn w:val="DefaultParagraphFont"/>
    <w:uiPriority w:val="99"/>
    <w:semiHidden/>
    <w:rsid w:val="00086EAE"/>
    <w:rPr>
      <w:rFonts w:ascii="Times New Roman" w:eastAsia="Times New Roman" w:hAnsi="Times New Roman" w:cs="Times New Roman"/>
      <w:i/>
      <w:iCs/>
      <w:noProof/>
      <w:lang w:eastAsia="en-GB"/>
    </w:rPr>
  </w:style>
  <w:style w:type="character" w:customStyle="1" w:styleId="HTMLPreformattedChar">
    <w:name w:val="HTML Preformatted Char"/>
    <w:link w:val="HTMLPreformatted"/>
    <w:uiPriority w:val="99"/>
    <w:semiHidden/>
    <w:rsid w:val="00086EAE"/>
    <w:rPr>
      <w:rFonts w:ascii="Consolas" w:eastAsia="MS Mincho" w:hAnsi="Consolas"/>
      <w:lang w:val="en-US"/>
    </w:rPr>
  </w:style>
  <w:style w:type="paragraph" w:styleId="HTMLPreformatted">
    <w:name w:val="HTML Preformatted"/>
    <w:basedOn w:val="Normal"/>
    <w:link w:val="HTMLPreformattedChar"/>
    <w:uiPriority w:val="99"/>
    <w:semiHidden/>
    <w:unhideWhenUsed/>
    <w:rsid w:val="00086EAE"/>
    <w:rPr>
      <w:rFonts w:ascii="Consolas" w:eastAsia="MS Mincho" w:hAnsi="Consolas" w:cstheme="minorBidi"/>
      <w:noProof w:val="0"/>
      <w:lang w:val="en-US" w:eastAsia="en-US"/>
    </w:rPr>
  </w:style>
  <w:style w:type="character" w:customStyle="1" w:styleId="HTMLPreformattedChar1">
    <w:name w:val="HTML Preformatted Char1"/>
    <w:basedOn w:val="DefaultParagraphFont"/>
    <w:uiPriority w:val="99"/>
    <w:semiHidden/>
    <w:rsid w:val="00086EAE"/>
    <w:rPr>
      <w:rFonts w:ascii="Courier" w:eastAsia="Times New Roman" w:hAnsi="Courier" w:cs="Times New Roman"/>
      <w:noProof/>
      <w:sz w:val="20"/>
      <w:szCs w:val="20"/>
      <w:lang w:eastAsia="en-GB"/>
    </w:rPr>
  </w:style>
  <w:style w:type="paragraph" w:customStyle="1" w:styleId="LightShading-Accent21">
    <w:name w:val="Light Shading - Accent 21"/>
    <w:basedOn w:val="Normal"/>
    <w:next w:val="Normal"/>
    <w:link w:val="LightShading-Accent2Char"/>
    <w:uiPriority w:val="30"/>
    <w:qFormat/>
    <w:rsid w:val="00086EAE"/>
    <w:pPr>
      <w:pBdr>
        <w:top w:val="single" w:sz="4" w:space="10" w:color="4F81BD"/>
        <w:bottom w:val="single" w:sz="4" w:space="10" w:color="4F81BD"/>
      </w:pBdr>
      <w:spacing w:before="360" w:after="360"/>
      <w:ind w:left="864" w:right="864"/>
      <w:jc w:val="center"/>
    </w:pPr>
    <w:rPr>
      <w:rFonts w:ascii="Cambria" w:eastAsia="MS Mincho" w:hAnsi="Cambria"/>
      <w:i/>
      <w:iCs/>
      <w:noProof w:val="0"/>
      <w:color w:val="4F81BD"/>
      <w:lang w:val="en-US" w:eastAsia="en-US"/>
    </w:rPr>
  </w:style>
  <w:style w:type="character" w:customStyle="1" w:styleId="LightShading-Accent2Char">
    <w:name w:val="Light Shading - Accent 2 Char"/>
    <w:link w:val="LightShading-Accent21"/>
    <w:uiPriority w:val="30"/>
    <w:rsid w:val="00086EAE"/>
    <w:rPr>
      <w:rFonts w:ascii="Cambria" w:eastAsia="MS Mincho" w:hAnsi="Cambria" w:cs="Times New Roman"/>
      <w:i/>
      <w:iCs/>
      <w:color w:val="4F81BD"/>
      <w:lang w:val="en-US"/>
    </w:rPr>
  </w:style>
  <w:style w:type="paragraph" w:styleId="ListBullet">
    <w:name w:val="List Bullet"/>
    <w:basedOn w:val="Normal"/>
    <w:uiPriority w:val="99"/>
    <w:semiHidden/>
    <w:unhideWhenUsed/>
    <w:rsid w:val="00086EAE"/>
    <w:pPr>
      <w:numPr>
        <w:numId w:val="6"/>
      </w:numPr>
      <w:contextualSpacing/>
    </w:pPr>
    <w:rPr>
      <w:rFonts w:ascii="Cambria" w:eastAsia="MS Mincho" w:hAnsi="Cambria"/>
      <w:noProof w:val="0"/>
      <w:lang w:val="en-US" w:eastAsia="en-US"/>
    </w:rPr>
  </w:style>
  <w:style w:type="paragraph" w:styleId="ListBullet2">
    <w:name w:val="List Bullet 2"/>
    <w:basedOn w:val="Normal"/>
    <w:uiPriority w:val="99"/>
    <w:semiHidden/>
    <w:unhideWhenUsed/>
    <w:rsid w:val="00086EAE"/>
    <w:pPr>
      <w:numPr>
        <w:numId w:val="7"/>
      </w:numPr>
      <w:contextualSpacing/>
    </w:pPr>
    <w:rPr>
      <w:rFonts w:ascii="Cambria" w:eastAsia="MS Mincho" w:hAnsi="Cambria"/>
      <w:noProof w:val="0"/>
      <w:lang w:val="en-US" w:eastAsia="en-US"/>
    </w:rPr>
  </w:style>
  <w:style w:type="paragraph" w:styleId="ListBullet3">
    <w:name w:val="List Bullet 3"/>
    <w:basedOn w:val="Normal"/>
    <w:uiPriority w:val="99"/>
    <w:semiHidden/>
    <w:unhideWhenUsed/>
    <w:rsid w:val="00086EAE"/>
    <w:pPr>
      <w:numPr>
        <w:numId w:val="8"/>
      </w:numPr>
      <w:contextualSpacing/>
    </w:pPr>
    <w:rPr>
      <w:rFonts w:ascii="Cambria" w:eastAsia="MS Mincho" w:hAnsi="Cambria"/>
      <w:noProof w:val="0"/>
      <w:lang w:val="en-US" w:eastAsia="en-US"/>
    </w:rPr>
  </w:style>
  <w:style w:type="paragraph" w:styleId="ListBullet4">
    <w:name w:val="List Bullet 4"/>
    <w:basedOn w:val="Normal"/>
    <w:uiPriority w:val="99"/>
    <w:semiHidden/>
    <w:unhideWhenUsed/>
    <w:rsid w:val="00086EAE"/>
    <w:pPr>
      <w:numPr>
        <w:numId w:val="9"/>
      </w:numPr>
      <w:contextualSpacing/>
    </w:pPr>
    <w:rPr>
      <w:rFonts w:ascii="Cambria" w:eastAsia="MS Mincho" w:hAnsi="Cambria"/>
      <w:noProof w:val="0"/>
      <w:lang w:val="en-US" w:eastAsia="en-US"/>
    </w:rPr>
  </w:style>
  <w:style w:type="paragraph" w:styleId="ListBullet5">
    <w:name w:val="List Bullet 5"/>
    <w:basedOn w:val="Normal"/>
    <w:uiPriority w:val="99"/>
    <w:semiHidden/>
    <w:unhideWhenUsed/>
    <w:rsid w:val="00086EAE"/>
    <w:pPr>
      <w:numPr>
        <w:numId w:val="10"/>
      </w:numPr>
      <w:contextualSpacing/>
    </w:pPr>
    <w:rPr>
      <w:rFonts w:ascii="Cambria" w:eastAsia="MS Mincho" w:hAnsi="Cambria"/>
      <w:noProof w:val="0"/>
      <w:lang w:val="en-US" w:eastAsia="en-US"/>
    </w:rPr>
  </w:style>
  <w:style w:type="paragraph" w:styleId="ListNumber">
    <w:name w:val="List Number"/>
    <w:basedOn w:val="Normal"/>
    <w:uiPriority w:val="99"/>
    <w:semiHidden/>
    <w:unhideWhenUsed/>
    <w:rsid w:val="00086EAE"/>
    <w:pPr>
      <w:numPr>
        <w:numId w:val="11"/>
      </w:numPr>
      <w:contextualSpacing/>
    </w:pPr>
    <w:rPr>
      <w:rFonts w:ascii="Cambria" w:eastAsia="MS Mincho" w:hAnsi="Cambria"/>
      <w:noProof w:val="0"/>
      <w:lang w:val="en-US" w:eastAsia="en-US"/>
    </w:rPr>
  </w:style>
  <w:style w:type="paragraph" w:styleId="ListNumber2">
    <w:name w:val="List Number 2"/>
    <w:basedOn w:val="Normal"/>
    <w:uiPriority w:val="99"/>
    <w:semiHidden/>
    <w:unhideWhenUsed/>
    <w:rsid w:val="00086EAE"/>
    <w:pPr>
      <w:numPr>
        <w:numId w:val="12"/>
      </w:numPr>
      <w:contextualSpacing/>
    </w:pPr>
    <w:rPr>
      <w:rFonts w:ascii="Cambria" w:eastAsia="MS Mincho" w:hAnsi="Cambria"/>
      <w:noProof w:val="0"/>
      <w:lang w:val="en-US" w:eastAsia="en-US"/>
    </w:rPr>
  </w:style>
  <w:style w:type="paragraph" w:styleId="ListNumber3">
    <w:name w:val="List Number 3"/>
    <w:basedOn w:val="Normal"/>
    <w:uiPriority w:val="99"/>
    <w:semiHidden/>
    <w:unhideWhenUsed/>
    <w:rsid w:val="00086EAE"/>
    <w:pPr>
      <w:numPr>
        <w:numId w:val="13"/>
      </w:numPr>
      <w:contextualSpacing/>
    </w:pPr>
    <w:rPr>
      <w:rFonts w:ascii="Cambria" w:eastAsia="MS Mincho" w:hAnsi="Cambria"/>
      <w:noProof w:val="0"/>
      <w:lang w:val="en-US" w:eastAsia="en-US"/>
    </w:rPr>
  </w:style>
  <w:style w:type="paragraph" w:styleId="ListNumber4">
    <w:name w:val="List Number 4"/>
    <w:basedOn w:val="Normal"/>
    <w:uiPriority w:val="99"/>
    <w:semiHidden/>
    <w:unhideWhenUsed/>
    <w:rsid w:val="00086EAE"/>
    <w:pPr>
      <w:numPr>
        <w:numId w:val="14"/>
      </w:numPr>
      <w:contextualSpacing/>
    </w:pPr>
    <w:rPr>
      <w:rFonts w:ascii="Cambria" w:eastAsia="MS Mincho" w:hAnsi="Cambria"/>
      <w:noProof w:val="0"/>
      <w:lang w:val="en-US" w:eastAsia="en-US"/>
    </w:rPr>
  </w:style>
  <w:style w:type="paragraph" w:styleId="ListNumber5">
    <w:name w:val="List Number 5"/>
    <w:basedOn w:val="Normal"/>
    <w:uiPriority w:val="99"/>
    <w:semiHidden/>
    <w:unhideWhenUsed/>
    <w:rsid w:val="00086EAE"/>
    <w:pPr>
      <w:numPr>
        <w:numId w:val="15"/>
      </w:numPr>
      <w:contextualSpacing/>
    </w:pPr>
    <w:rPr>
      <w:rFonts w:ascii="Cambria" w:eastAsia="MS Mincho" w:hAnsi="Cambria"/>
      <w:noProof w:val="0"/>
      <w:lang w:val="en-US" w:eastAsia="en-US"/>
    </w:rPr>
  </w:style>
  <w:style w:type="character" w:customStyle="1" w:styleId="MacroTextChar">
    <w:name w:val="Macro Text Char"/>
    <w:link w:val="MacroText"/>
    <w:uiPriority w:val="99"/>
    <w:semiHidden/>
    <w:rsid w:val="00086EAE"/>
    <w:rPr>
      <w:rFonts w:ascii="Consolas" w:eastAsia="MS Mincho" w:hAnsi="Consolas"/>
      <w:lang w:val="en-US"/>
    </w:rPr>
  </w:style>
  <w:style w:type="paragraph" w:styleId="MacroText">
    <w:name w:val="macro"/>
    <w:link w:val="MacroTextChar"/>
    <w:uiPriority w:val="99"/>
    <w:semiHidden/>
    <w:unhideWhenUsed/>
    <w:rsid w:val="00086EAE"/>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US"/>
    </w:rPr>
  </w:style>
  <w:style w:type="character" w:customStyle="1" w:styleId="MacroTextChar1">
    <w:name w:val="Macro Text Char1"/>
    <w:basedOn w:val="DefaultParagraphFont"/>
    <w:uiPriority w:val="99"/>
    <w:semiHidden/>
    <w:rsid w:val="00086EAE"/>
    <w:rPr>
      <w:rFonts w:ascii="Courier" w:eastAsia="Times New Roman" w:hAnsi="Courier" w:cs="Times New Roman"/>
      <w:noProof/>
      <w:sz w:val="20"/>
      <w:szCs w:val="20"/>
      <w:lang w:eastAsia="en-GB"/>
    </w:rPr>
  </w:style>
  <w:style w:type="character" w:customStyle="1" w:styleId="MessageHeaderChar">
    <w:name w:val="Message Header Char"/>
    <w:basedOn w:val="DefaultParagraphFont"/>
    <w:link w:val="MessageHeader"/>
    <w:uiPriority w:val="99"/>
    <w:semiHidden/>
    <w:rsid w:val="00086EAE"/>
    <w:rPr>
      <w:rFonts w:ascii="Cambria" w:eastAsia="MS Gothic" w:hAnsi="Cambria" w:cs="Times New Roman"/>
      <w:shd w:val="pct20" w:color="auto" w:fill="auto"/>
      <w:lang w:val="en-US"/>
    </w:rPr>
  </w:style>
  <w:style w:type="paragraph" w:styleId="MessageHeader">
    <w:name w:val="Message Header"/>
    <w:basedOn w:val="Normal"/>
    <w:link w:val="MessageHeaderChar"/>
    <w:uiPriority w:val="99"/>
    <w:semiHidden/>
    <w:unhideWhenUsed/>
    <w:rsid w:val="00086EA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noProof w:val="0"/>
      <w:lang w:val="en-US" w:eastAsia="en-US"/>
    </w:rPr>
  </w:style>
  <w:style w:type="character" w:customStyle="1" w:styleId="NoteHeadingChar">
    <w:name w:val="Note Heading Char"/>
    <w:link w:val="NoteHeading"/>
    <w:uiPriority w:val="99"/>
    <w:semiHidden/>
    <w:rsid w:val="00086EAE"/>
    <w:rPr>
      <w:rFonts w:ascii="Cambria" w:eastAsia="MS Mincho" w:hAnsi="Cambria"/>
      <w:lang w:val="en-US"/>
    </w:rPr>
  </w:style>
  <w:style w:type="paragraph" w:styleId="NoteHeading">
    <w:name w:val="Note Heading"/>
    <w:basedOn w:val="Normal"/>
    <w:next w:val="Normal"/>
    <w:link w:val="NoteHeadingChar"/>
    <w:uiPriority w:val="99"/>
    <w:semiHidden/>
    <w:unhideWhenUsed/>
    <w:rsid w:val="00086EAE"/>
    <w:rPr>
      <w:rFonts w:ascii="Cambria" w:eastAsia="MS Mincho" w:hAnsi="Cambria" w:cstheme="minorBidi"/>
      <w:noProof w:val="0"/>
      <w:lang w:val="en-US" w:eastAsia="en-US"/>
    </w:rPr>
  </w:style>
  <w:style w:type="character" w:customStyle="1" w:styleId="NoteHeadingChar1">
    <w:name w:val="Note Heading Char1"/>
    <w:basedOn w:val="DefaultParagraphFont"/>
    <w:uiPriority w:val="99"/>
    <w:semiHidden/>
    <w:rsid w:val="00086EAE"/>
    <w:rPr>
      <w:rFonts w:ascii="Times New Roman" w:eastAsia="Times New Roman" w:hAnsi="Times New Roman" w:cs="Times New Roman"/>
      <w:noProof/>
      <w:lang w:eastAsia="en-GB"/>
    </w:rPr>
  </w:style>
  <w:style w:type="paragraph" w:styleId="PlainText">
    <w:name w:val="Plain Text"/>
    <w:basedOn w:val="Normal"/>
    <w:link w:val="PlainTextChar"/>
    <w:uiPriority w:val="99"/>
    <w:unhideWhenUsed/>
    <w:rsid w:val="00086EAE"/>
    <w:rPr>
      <w:rFonts w:ascii="Consolas" w:eastAsia="MS Mincho" w:hAnsi="Consolas"/>
      <w:noProof w:val="0"/>
      <w:sz w:val="21"/>
      <w:szCs w:val="21"/>
      <w:lang w:val="en-US" w:eastAsia="en-US"/>
    </w:rPr>
  </w:style>
  <w:style w:type="character" w:customStyle="1" w:styleId="PlainTextChar">
    <w:name w:val="Plain Text Char"/>
    <w:basedOn w:val="DefaultParagraphFont"/>
    <w:link w:val="PlainText"/>
    <w:uiPriority w:val="99"/>
    <w:rsid w:val="00086EAE"/>
    <w:rPr>
      <w:rFonts w:ascii="Consolas" w:eastAsia="MS Mincho" w:hAnsi="Consolas" w:cs="Times New Roman"/>
      <w:sz w:val="21"/>
      <w:szCs w:val="21"/>
      <w:lang w:val="en-US"/>
    </w:rPr>
  </w:style>
  <w:style w:type="paragraph" w:customStyle="1" w:styleId="ColorfulGrid-Accent11">
    <w:name w:val="Colorful Grid - Accent 11"/>
    <w:basedOn w:val="Normal"/>
    <w:next w:val="Normal"/>
    <w:link w:val="ColorfulGrid-Accent1Char"/>
    <w:uiPriority w:val="29"/>
    <w:qFormat/>
    <w:rsid w:val="00086EAE"/>
    <w:pPr>
      <w:spacing w:before="200" w:after="160"/>
      <w:ind w:left="864" w:right="864"/>
      <w:jc w:val="center"/>
    </w:pPr>
    <w:rPr>
      <w:rFonts w:ascii="Cambria" w:eastAsia="MS Mincho" w:hAnsi="Cambria"/>
      <w:i/>
      <w:iCs/>
      <w:noProof w:val="0"/>
      <w:color w:val="404040"/>
      <w:lang w:val="en-US" w:eastAsia="en-US"/>
    </w:rPr>
  </w:style>
  <w:style w:type="character" w:customStyle="1" w:styleId="ColorfulGrid-Accent1Char">
    <w:name w:val="Colorful Grid - Accent 1 Char"/>
    <w:link w:val="ColorfulGrid-Accent11"/>
    <w:uiPriority w:val="29"/>
    <w:rsid w:val="00086EAE"/>
    <w:rPr>
      <w:rFonts w:ascii="Cambria" w:eastAsia="MS Mincho" w:hAnsi="Cambria" w:cs="Times New Roman"/>
      <w:i/>
      <w:iCs/>
      <w:color w:val="404040"/>
      <w:lang w:val="en-US"/>
    </w:rPr>
  </w:style>
  <w:style w:type="character" w:customStyle="1" w:styleId="SalutationChar">
    <w:name w:val="Salutation Char"/>
    <w:link w:val="Salutation"/>
    <w:uiPriority w:val="99"/>
    <w:semiHidden/>
    <w:rsid w:val="00086EAE"/>
    <w:rPr>
      <w:rFonts w:ascii="Cambria" w:eastAsia="MS Mincho" w:hAnsi="Cambria"/>
      <w:lang w:val="en-US"/>
    </w:rPr>
  </w:style>
  <w:style w:type="paragraph" w:styleId="Salutation">
    <w:name w:val="Salutation"/>
    <w:basedOn w:val="Normal"/>
    <w:next w:val="Normal"/>
    <w:link w:val="SalutationChar"/>
    <w:uiPriority w:val="99"/>
    <w:semiHidden/>
    <w:unhideWhenUsed/>
    <w:rsid w:val="00086EAE"/>
    <w:rPr>
      <w:rFonts w:ascii="Cambria" w:eastAsia="MS Mincho" w:hAnsi="Cambria" w:cstheme="minorBidi"/>
      <w:noProof w:val="0"/>
      <w:lang w:val="en-US" w:eastAsia="en-US"/>
    </w:rPr>
  </w:style>
  <w:style w:type="character" w:customStyle="1" w:styleId="SalutationChar1">
    <w:name w:val="Salutation Char1"/>
    <w:basedOn w:val="DefaultParagraphFont"/>
    <w:uiPriority w:val="99"/>
    <w:semiHidden/>
    <w:rsid w:val="00086EAE"/>
    <w:rPr>
      <w:rFonts w:ascii="Times New Roman" w:eastAsia="Times New Roman" w:hAnsi="Times New Roman" w:cs="Times New Roman"/>
      <w:noProof/>
      <w:lang w:eastAsia="en-GB"/>
    </w:rPr>
  </w:style>
  <w:style w:type="character" w:customStyle="1" w:styleId="SignatureChar">
    <w:name w:val="Signature Char"/>
    <w:link w:val="Signature"/>
    <w:uiPriority w:val="99"/>
    <w:semiHidden/>
    <w:rsid w:val="00086EAE"/>
    <w:rPr>
      <w:rFonts w:ascii="Cambria" w:eastAsia="MS Mincho" w:hAnsi="Cambria"/>
      <w:lang w:val="en-US"/>
    </w:rPr>
  </w:style>
  <w:style w:type="paragraph" w:styleId="Signature">
    <w:name w:val="Signature"/>
    <w:basedOn w:val="Normal"/>
    <w:link w:val="SignatureChar"/>
    <w:uiPriority w:val="99"/>
    <w:semiHidden/>
    <w:unhideWhenUsed/>
    <w:rsid w:val="00086EAE"/>
    <w:pPr>
      <w:ind w:left="4252"/>
    </w:pPr>
    <w:rPr>
      <w:rFonts w:ascii="Cambria" w:eastAsia="MS Mincho" w:hAnsi="Cambria" w:cstheme="minorBidi"/>
      <w:noProof w:val="0"/>
      <w:lang w:val="en-US" w:eastAsia="en-US"/>
    </w:rPr>
  </w:style>
  <w:style w:type="character" w:customStyle="1" w:styleId="SignatureChar1">
    <w:name w:val="Signature Char1"/>
    <w:basedOn w:val="DefaultParagraphFont"/>
    <w:uiPriority w:val="99"/>
    <w:semiHidden/>
    <w:rsid w:val="00086EAE"/>
    <w:rPr>
      <w:rFonts w:ascii="Times New Roman" w:eastAsia="Times New Roman" w:hAnsi="Times New Roman" w:cs="Times New Roman"/>
      <w:noProof/>
      <w:lang w:eastAsia="en-GB"/>
    </w:rPr>
  </w:style>
  <w:style w:type="paragraph" w:styleId="Subtitle">
    <w:name w:val="Subtitle"/>
    <w:basedOn w:val="Normal"/>
    <w:next w:val="Normal"/>
    <w:link w:val="SubtitleChar"/>
    <w:uiPriority w:val="11"/>
    <w:qFormat/>
    <w:rsid w:val="00086EAE"/>
    <w:pPr>
      <w:numPr>
        <w:ilvl w:val="1"/>
      </w:numPr>
      <w:spacing w:after="160"/>
    </w:pPr>
    <w:rPr>
      <w:rFonts w:ascii="Calibri" w:eastAsia="MS Mincho" w:hAnsi="Calibri" w:cs="Arial"/>
      <w:noProof w:val="0"/>
      <w:color w:val="5A5A5A"/>
      <w:spacing w:val="15"/>
      <w:sz w:val="22"/>
      <w:szCs w:val="22"/>
      <w:lang w:val="en-US" w:eastAsia="en-US"/>
    </w:rPr>
  </w:style>
  <w:style w:type="character" w:customStyle="1" w:styleId="SubtitleChar">
    <w:name w:val="Subtitle Char"/>
    <w:basedOn w:val="DefaultParagraphFont"/>
    <w:link w:val="Subtitle"/>
    <w:uiPriority w:val="11"/>
    <w:rsid w:val="00086EAE"/>
    <w:rPr>
      <w:rFonts w:ascii="Calibri" w:eastAsia="MS Mincho" w:hAnsi="Calibri" w:cs="Arial"/>
      <w:color w:val="5A5A5A"/>
      <w:spacing w:val="15"/>
      <w:sz w:val="22"/>
      <w:szCs w:val="22"/>
      <w:lang w:val="en-US"/>
    </w:rPr>
  </w:style>
  <w:style w:type="paragraph" w:styleId="Title">
    <w:name w:val="Title"/>
    <w:basedOn w:val="Normal"/>
    <w:next w:val="Normal"/>
    <w:link w:val="TitleChar"/>
    <w:uiPriority w:val="10"/>
    <w:qFormat/>
    <w:rsid w:val="00086EAE"/>
    <w:pPr>
      <w:contextualSpacing/>
    </w:pPr>
    <w:rPr>
      <w:rFonts w:ascii="Cambria" w:eastAsia="MS Gothic" w:hAnsi="Cambria"/>
      <w:noProof w:val="0"/>
      <w:spacing w:val="-10"/>
      <w:kern w:val="28"/>
      <w:sz w:val="56"/>
      <w:szCs w:val="56"/>
      <w:lang w:val="en-US" w:eastAsia="en-US"/>
    </w:rPr>
  </w:style>
  <w:style w:type="character" w:customStyle="1" w:styleId="TitleChar">
    <w:name w:val="Title Char"/>
    <w:basedOn w:val="DefaultParagraphFont"/>
    <w:link w:val="Title"/>
    <w:uiPriority w:val="10"/>
    <w:rsid w:val="00086EAE"/>
    <w:rPr>
      <w:rFonts w:ascii="Cambria" w:eastAsia="MS Gothic" w:hAnsi="Cambria" w:cs="Times New Roman"/>
      <w:spacing w:val="-10"/>
      <w:kern w:val="28"/>
      <w:sz w:val="56"/>
      <w:szCs w:val="56"/>
      <w:lang w:val="en-US"/>
    </w:rPr>
  </w:style>
  <w:style w:type="paragraph" w:customStyle="1" w:styleId="Default">
    <w:name w:val="Default"/>
    <w:rsid w:val="00086EAE"/>
    <w:pPr>
      <w:widowControl w:val="0"/>
      <w:autoSpaceDE w:val="0"/>
      <w:autoSpaceDN w:val="0"/>
      <w:adjustRightInd w:val="0"/>
    </w:pPr>
    <w:rPr>
      <w:rFonts w:ascii="Times New Roman" w:eastAsia="MS Mincho" w:hAnsi="Times New Roman" w:cs="Times New Roman"/>
      <w:color w:val="000000"/>
      <w:lang w:val="en-US" w:eastAsia="ko-KR"/>
    </w:rPr>
  </w:style>
  <w:style w:type="paragraph" w:customStyle="1" w:styleId="PSLeipis">
    <w:name w:val="PS Leipis"/>
    <w:basedOn w:val="Normal"/>
    <w:qFormat/>
    <w:rsid w:val="00BF0E75"/>
    <w:pPr>
      <w:autoSpaceDE w:val="0"/>
      <w:autoSpaceDN w:val="0"/>
      <w:adjustRightInd w:val="0"/>
      <w:spacing w:after="200" w:line="340" w:lineRule="atLeast"/>
      <w:jc w:val="both"/>
    </w:pPr>
    <w:rPr>
      <w:noProof w:val="0"/>
      <w:sz w:val="26"/>
      <w:szCs w:val="26"/>
    </w:rPr>
  </w:style>
  <w:style w:type="paragraph" w:customStyle="1" w:styleId="PSKaavat">
    <w:name w:val="PS Kaavat"/>
    <w:basedOn w:val="PSLeipis"/>
    <w:qFormat/>
    <w:rsid w:val="00E25502"/>
    <w:pPr>
      <w:tabs>
        <w:tab w:val="center" w:pos="4253"/>
        <w:tab w:val="right" w:pos="8505"/>
      </w:tabs>
    </w:pPr>
  </w:style>
  <w:style w:type="paragraph" w:customStyle="1" w:styleId="PSVliotsikot">
    <w:name w:val="PS Väliotsikot"/>
    <w:basedOn w:val="Normal"/>
    <w:qFormat/>
    <w:rsid w:val="00E25502"/>
    <w:pPr>
      <w:keepNext/>
      <w:keepLines/>
      <w:tabs>
        <w:tab w:val="left" w:pos="7133"/>
      </w:tabs>
      <w:autoSpaceDE w:val="0"/>
      <w:autoSpaceDN w:val="0"/>
      <w:adjustRightInd w:val="0"/>
      <w:spacing w:before="400" w:after="120" w:line="340" w:lineRule="atLeast"/>
    </w:pPr>
    <w:rPr>
      <w:i/>
      <w:iCs/>
      <w:noProof w:val="0"/>
      <w:sz w:val="26"/>
      <w:szCs w:val="26"/>
    </w:rPr>
  </w:style>
  <w:style w:type="paragraph" w:customStyle="1" w:styleId="PSlhteet">
    <w:name w:val="PS lähteet"/>
    <w:basedOn w:val="NormalWeb"/>
    <w:qFormat/>
    <w:rsid w:val="00E25502"/>
    <w:pPr>
      <w:spacing w:before="0" w:beforeAutospacing="0" w:after="0" w:afterAutospacing="0" w:line="340" w:lineRule="atLeast"/>
      <w:ind w:left="1247" w:hanging="1247"/>
      <w:jc w:val="both"/>
    </w:pPr>
    <w:rPr>
      <w:sz w:val="26"/>
      <w:szCs w:val="26"/>
    </w:rPr>
  </w:style>
  <w:style w:type="character" w:customStyle="1" w:styleId="UnresolvedMention">
    <w:name w:val="Unresolved Mention"/>
    <w:basedOn w:val="DefaultParagraphFont"/>
    <w:uiPriority w:val="99"/>
    <w:rsid w:val="00E2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4334">
      <w:bodyDiv w:val="1"/>
      <w:marLeft w:val="0"/>
      <w:marRight w:val="0"/>
      <w:marTop w:val="0"/>
      <w:marBottom w:val="0"/>
      <w:divBdr>
        <w:top w:val="none" w:sz="0" w:space="0" w:color="auto"/>
        <w:left w:val="none" w:sz="0" w:space="0" w:color="auto"/>
        <w:bottom w:val="none" w:sz="0" w:space="0" w:color="auto"/>
        <w:right w:val="none" w:sz="0" w:space="0" w:color="auto"/>
      </w:divBdr>
    </w:div>
    <w:div w:id="700862221">
      <w:bodyDiv w:val="1"/>
      <w:marLeft w:val="0"/>
      <w:marRight w:val="0"/>
      <w:marTop w:val="0"/>
      <w:marBottom w:val="0"/>
      <w:divBdr>
        <w:top w:val="none" w:sz="0" w:space="0" w:color="auto"/>
        <w:left w:val="none" w:sz="0" w:space="0" w:color="auto"/>
        <w:bottom w:val="none" w:sz="0" w:space="0" w:color="auto"/>
        <w:right w:val="none" w:sz="0" w:space="0" w:color="auto"/>
      </w:divBdr>
    </w:div>
    <w:div w:id="1399982696">
      <w:bodyDiv w:val="1"/>
      <w:marLeft w:val="0"/>
      <w:marRight w:val="0"/>
      <w:marTop w:val="0"/>
      <w:marBottom w:val="0"/>
      <w:divBdr>
        <w:top w:val="none" w:sz="0" w:space="0" w:color="auto"/>
        <w:left w:val="none" w:sz="0" w:space="0" w:color="auto"/>
        <w:bottom w:val="none" w:sz="0" w:space="0" w:color="auto"/>
        <w:right w:val="none" w:sz="0" w:space="0" w:color="auto"/>
      </w:divBdr>
    </w:div>
    <w:div w:id="1456289829">
      <w:bodyDiv w:val="1"/>
      <w:marLeft w:val="0"/>
      <w:marRight w:val="0"/>
      <w:marTop w:val="0"/>
      <w:marBottom w:val="0"/>
      <w:divBdr>
        <w:top w:val="none" w:sz="0" w:space="0" w:color="auto"/>
        <w:left w:val="none" w:sz="0" w:space="0" w:color="auto"/>
        <w:bottom w:val="none" w:sz="0" w:space="0" w:color="auto"/>
        <w:right w:val="none" w:sz="0" w:space="0" w:color="auto"/>
      </w:divBdr>
    </w:div>
    <w:div w:id="1568418599">
      <w:bodyDiv w:val="1"/>
      <w:marLeft w:val="0"/>
      <w:marRight w:val="0"/>
      <w:marTop w:val="0"/>
      <w:marBottom w:val="0"/>
      <w:divBdr>
        <w:top w:val="none" w:sz="0" w:space="0" w:color="auto"/>
        <w:left w:val="none" w:sz="0" w:space="0" w:color="auto"/>
        <w:bottom w:val="none" w:sz="0" w:space="0" w:color="auto"/>
        <w:right w:val="none" w:sz="0" w:space="0" w:color="auto"/>
      </w:divBdr>
    </w:div>
    <w:div w:id="1926189176">
      <w:bodyDiv w:val="1"/>
      <w:marLeft w:val="0"/>
      <w:marRight w:val="0"/>
      <w:marTop w:val="0"/>
      <w:marBottom w:val="0"/>
      <w:divBdr>
        <w:top w:val="none" w:sz="0" w:space="0" w:color="auto"/>
        <w:left w:val="none" w:sz="0" w:space="0" w:color="auto"/>
        <w:bottom w:val="none" w:sz="0" w:space="0" w:color="auto"/>
        <w:right w:val="none" w:sz="0" w:space="0" w:color="auto"/>
      </w:divBdr>
    </w:div>
    <w:div w:id="2018772845">
      <w:bodyDiv w:val="1"/>
      <w:marLeft w:val="0"/>
      <w:marRight w:val="0"/>
      <w:marTop w:val="0"/>
      <w:marBottom w:val="0"/>
      <w:divBdr>
        <w:top w:val="none" w:sz="0" w:space="0" w:color="auto"/>
        <w:left w:val="none" w:sz="0" w:space="0" w:color="auto"/>
        <w:bottom w:val="none" w:sz="0" w:space="0" w:color="auto"/>
        <w:right w:val="none" w:sz="0" w:space="0" w:color="auto"/>
      </w:divBdr>
      <w:divsChild>
        <w:div w:id="968625580">
          <w:marLeft w:val="0"/>
          <w:marRight w:val="0"/>
          <w:marTop w:val="0"/>
          <w:marBottom w:val="0"/>
          <w:divBdr>
            <w:top w:val="none" w:sz="0" w:space="0" w:color="auto"/>
            <w:left w:val="none" w:sz="0" w:space="0" w:color="auto"/>
            <w:bottom w:val="none" w:sz="0" w:space="0" w:color="auto"/>
            <w:right w:val="none" w:sz="0" w:space="0" w:color="auto"/>
          </w:divBdr>
          <w:divsChild>
            <w:div w:id="1080250238">
              <w:marLeft w:val="0"/>
              <w:marRight w:val="0"/>
              <w:marTop w:val="0"/>
              <w:marBottom w:val="0"/>
              <w:divBdr>
                <w:top w:val="none" w:sz="0" w:space="0" w:color="auto"/>
                <w:left w:val="none" w:sz="0" w:space="0" w:color="auto"/>
                <w:bottom w:val="none" w:sz="0" w:space="0" w:color="auto"/>
                <w:right w:val="none" w:sz="0" w:space="0" w:color="auto"/>
              </w:divBdr>
              <w:divsChild>
                <w:div w:id="21097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91935">
      <w:bodyDiv w:val="1"/>
      <w:marLeft w:val="0"/>
      <w:marRight w:val="0"/>
      <w:marTop w:val="0"/>
      <w:marBottom w:val="0"/>
      <w:divBdr>
        <w:top w:val="none" w:sz="0" w:space="0" w:color="auto"/>
        <w:left w:val="none" w:sz="0" w:space="0" w:color="auto"/>
        <w:bottom w:val="none" w:sz="0" w:space="0" w:color="auto"/>
        <w:right w:val="none" w:sz="0" w:space="0" w:color="auto"/>
      </w:divBdr>
      <w:divsChild>
        <w:div w:id="166214353">
          <w:marLeft w:val="0"/>
          <w:marRight w:val="0"/>
          <w:marTop w:val="0"/>
          <w:marBottom w:val="0"/>
          <w:divBdr>
            <w:top w:val="none" w:sz="0" w:space="0" w:color="auto"/>
            <w:left w:val="none" w:sz="0" w:space="0" w:color="auto"/>
            <w:bottom w:val="none" w:sz="0" w:space="0" w:color="auto"/>
            <w:right w:val="none" w:sz="0" w:space="0" w:color="auto"/>
          </w:divBdr>
          <w:divsChild>
            <w:div w:id="1062749829">
              <w:marLeft w:val="0"/>
              <w:marRight w:val="0"/>
              <w:marTop w:val="0"/>
              <w:marBottom w:val="0"/>
              <w:divBdr>
                <w:top w:val="none" w:sz="0" w:space="0" w:color="auto"/>
                <w:left w:val="none" w:sz="0" w:space="0" w:color="auto"/>
                <w:bottom w:val="none" w:sz="0" w:space="0" w:color="auto"/>
                <w:right w:val="none" w:sz="0" w:space="0" w:color="auto"/>
              </w:divBdr>
              <w:divsChild>
                <w:div w:id="15812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4484">
      <w:bodyDiv w:val="1"/>
      <w:marLeft w:val="0"/>
      <w:marRight w:val="0"/>
      <w:marTop w:val="0"/>
      <w:marBottom w:val="0"/>
      <w:divBdr>
        <w:top w:val="none" w:sz="0" w:space="0" w:color="auto"/>
        <w:left w:val="none" w:sz="0" w:space="0" w:color="auto"/>
        <w:bottom w:val="none" w:sz="0" w:space="0" w:color="auto"/>
        <w:right w:val="none" w:sz="0" w:space="0" w:color="auto"/>
      </w:divBdr>
    </w:div>
    <w:div w:id="2113699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rc.org.uk/Our-Work/Publications/Corporate-Governance/Guidance-on-Audit-Committees-September-2016.aspx" TargetMode="Externa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en.wikipedia.org/wiki/International_Standard_Serial_Number" TargetMode="External"/><Relationship Id="rId11" Type="http://schemas.openxmlformats.org/officeDocument/2006/relationships/hyperlink" Target="https://www.worldcat.org/issn/0012-9682" TargetMode="External"/><Relationship Id="rId12" Type="http://schemas.openxmlformats.org/officeDocument/2006/relationships/hyperlink" Target="https://www.gov.uk/government/publications,(03/2/14" TargetMode="External"/><Relationship Id="rId13" Type="http://schemas.openxmlformats.org/officeDocument/2006/relationships/hyperlink" Target="https://www.gov.uk/government/publications/review-of-hm-treasurys-response-to-the-financial-crisis-2007-09" TargetMode="External"/><Relationship Id="rId14" Type="http://schemas.openxmlformats.org/officeDocument/2006/relationships/hyperlink" Target="https://www.gov.uk/government/publications" TargetMode="External"/><Relationship Id="rId15" Type="http://schemas.openxmlformats.org/officeDocument/2006/relationships/hyperlink" Target="http://www.emeraldinsight.com/action/showLinks?system=10.1108%2F18347641311312285" TargetMode="External"/><Relationship Id="rId16" Type="http://schemas.openxmlformats.org/officeDocument/2006/relationships/hyperlink" Target="http://www.inderscience.com/filter.php?aid=57378"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image" Target="media/image1.tif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nkofengland.co.uk/PRA/Pages/default.aspx" TargetMode="External"/><Relationship Id="rId8" Type="http://schemas.openxmlformats.org/officeDocument/2006/relationships/hyperlink" Target="https://www.frc.org.uk/Our-Work/Publications/Corporate-Governance/Guidance-on-Audit-Committees-September-20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10104</Words>
  <Characters>57597</Characters>
  <Application>Microsoft Macintosh Word</Application>
  <DocSecurity>0</DocSecurity>
  <Lines>479</Lines>
  <Paragraphs>135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Agyemang-Mintah</dc:creator>
  <cp:keywords/>
  <dc:description/>
  <cp:lastModifiedBy>Peter Agyemang-Mintah</cp:lastModifiedBy>
  <cp:revision>2</cp:revision>
  <dcterms:created xsi:type="dcterms:W3CDTF">2018-02-12T13:26:00Z</dcterms:created>
  <dcterms:modified xsi:type="dcterms:W3CDTF">2018-02-12T13:26:00Z</dcterms:modified>
</cp:coreProperties>
</file>