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E12A" w14:textId="63C2DF45" w:rsidR="00C4666C" w:rsidRPr="006F011E" w:rsidRDefault="00F23EBD" w:rsidP="00C4666C">
      <w:pPr>
        <w:pStyle w:val="NormalWeb"/>
        <w:spacing w:before="0" w:beforeAutospacing="0" w:after="0" w:afterAutospacing="0"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For prognostic factors for pain, o</w:t>
      </w:r>
      <w:r w:rsidR="00C4666C" w:rsidRPr="006F011E">
        <w:rPr>
          <w:rFonts w:ascii="Arial" w:eastAsia="Calibri" w:hAnsi="Arial" w:cs="Arial"/>
          <w:color w:val="000000" w:themeColor="text1"/>
          <w:sz w:val="22"/>
          <w:szCs w:val="22"/>
        </w:rPr>
        <w:t>bservational studies</w:t>
      </w:r>
      <w:r w:rsidR="00596A17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ED0023">
        <w:rPr>
          <w:rFonts w:ascii="Arial" w:eastAsia="Calibri" w:hAnsi="Arial" w:cs="Arial"/>
          <w:color w:val="000000" w:themeColor="text1"/>
          <w:sz w:val="22"/>
          <w:szCs w:val="22"/>
        </w:rPr>
        <w:t>started with high certainty ratings.</w:t>
      </w:r>
      <w:r w:rsidR="004A2839"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t>1</w:t>
      </w:r>
      <w:r w:rsidR="00ED0023">
        <w:rPr>
          <w:rFonts w:ascii="Arial" w:eastAsia="Calibri" w:hAnsi="Arial" w:cs="Arial"/>
          <w:color w:val="000000" w:themeColor="text1"/>
          <w:sz w:val="22"/>
          <w:szCs w:val="22"/>
        </w:rPr>
        <w:t xml:space="preserve"> For </w:t>
      </w:r>
      <w:r w:rsidR="0098184F">
        <w:rPr>
          <w:rFonts w:ascii="Arial" w:eastAsia="Calibri" w:hAnsi="Arial" w:cs="Arial"/>
          <w:color w:val="000000" w:themeColor="text1"/>
          <w:sz w:val="22"/>
          <w:szCs w:val="22"/>
        </w:rPr>
        <w:t>intervention effectiveness</w:t>
      </w:r>
      <w:r w:rsidR="004A2839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C4666C" w:rsidRPr="006F011E">
        <w:rPr>
          <w:rFonts w:ascii="Arial" w:eastAsia="Calibri" w:hAnsi="Arial" w:cs="Arial"/>
          <w:color w:val="000000" w:themeColor="text1"/>
          <w:sz w:val="22"/>
          <w:szCs w:val="22"/>
        </w:rPr>
        <w:t xml:space="preserve"> RCTs</w:t>
      </w:r>
      <w:r w:rsidR="0098184F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8184F">
        <w:rPr>
          <w:rFonts w:ascii="Arial" w:eastAsia="Calibri" w:hAnsi="Arial" w:cs="Arial"/>
          <w:color w:val="000000" w:themeColor="text1"/>
          <w:sz w:val="22"/>
          <w:szCs w:val="22"/>
        </w:rPr>
        <w:t>started with high certainty ratings</w:t>
      </w:r>
      <w:r w:rsidR="00C4666C" w:rsidRPr="006F011E">
        <w:rPr>
          <w:rFonts w:ascii="Arial" w:eastAsia="Calibri" w:hAnsi="Arial" w:cs="Arial"/>
          <w:color w:val="000000" w:themeColor="text1"/>
          <w:sz w:val="22"/>
          <w:szCs w:val="22"/>
        </w:rPr>
        <w:t>. For the comparison of an index test to a reference method, all studies were initially judged as high regardless of the study design.</w:t>
      </w:r>
      <w:r w:rsidR="009032FC"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t>2</w:t>
      </w:r>
      <w:r w:rsidR="00C4666C" w:rsidRPr="006F011E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14:paraId="5D2E2127" w14:textId="77777777" w:rsidR="00C4666C" w:rsidRPr="006F011E" w:rsidRDefault="00C4666C" w:rsidP="00C005E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14:paraId="2DFA1F99" w14:textId="1D0FF494" w:rsidR="00C005EE" w:rsidRPr="006F011E" w:rsidRDefault="00C005EE" w:rsidP="00C005E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To ensure consistency of GRADE judgements we appl</w:t>
      </w:r>
      <w:r w:rsidR="00976F2B">
        <w:rPr>
          <w:rFonts w:ascii="Arial" w:hAnsi="Arial" w:cs="Arial"/>
          <w:color w:val="000000"/>
          <w:sz w:val="22"/>
          <w:szCs w:val="22"/>
        </w:rPr>
        <w:t>ied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the following assessment criteria:</w:t>
      </w:r>
    </w:p>
    <w:p w14:paraId="6F9B0579" w14:textId="2067F57F" w:rsidR="00C005EE" w:rsidRPr="006F011E" w:rsidRDefault="00C005EE" w:rsidP="00C005EE">
      <w:pPr>
        <w:pStyle w:val="NormalWeb"/>
        <w:numPr>
          <w:ilvl w:val="0"/>
          <w:numId w:val="1"/>
        </w:numPr>
        <w:spacing w:before="0" w:beforeAutospacing="0" w:after="150" w:afterAutospacing="0"/>
        <w:ind w:left="375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Serious study limitations: we downgrade</w:t>
      </w:r>
      <w:r w:rsidR="00976F2B">
        <w:rPr>
          <w:rFonts w:ascii="Arial" w:hAnsi="Arial" w:cs="Arial"/>
          <w:color w:val="000000"/>
          <w:sz w:val="22"/>
          <w:szCs w:val="22"/>
        </w:rPr>
        <w:t>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once if more than 25% of the participants </w:t>
      </w:r>
      <w:r w:rsidR="00976F2B">
        <w:rPr>
          <w:rFonts w:ascii="Arial" w:hAnsi="Arial" w:cs="Arial"/>
          <w:color w:val="000000"/>
          <w:sz w:val="22"/>
          <w:szCs w:val="22"/>
        </w:rPr>
        <w:t>were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from studies classified as being at overall high risk of bias</w:t>
      </w:r>
    </w:p>
    <w:p w14:paraId="292DEB72" w14:textId="72FB7C38" w:rsidR="00C005EE" w:rsidRPr="006F011E" w:rsidRDefault="00C005EE" w:rsidP="00C005EE">
      <w:pPr>
        <w:pStyle w:val="NormalWeb"/>
        <w:numPr>
          <w:ilvl w:val="0"/>
          <w:numId w:val="1"/>
        </w:numPr>
        <w:spacing w:before="0" w:beforeAutospacing="0" w:after="150" w:afterAutospacing="0"/>
        <w:ind w:left="375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Inconsistency: we downgrade</w:t>
      </w:r>
      <w:r w:rsidR="00976F2B">
        <w:rPr>
          <w:rFonts w:ascii="Arial" w:hAnsi="Arial" w:cs="Arial"/>
          <w:color w:val="000000"/>
          <w:sz w:val="22"/>
          <w:szCs w:val="22"/>
        </w:rPr>
        <w:t>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once if the studies d</w:t>
      </w:r>
      <w:r w:rsidR="00976F2B">
        <w:rPr>
          <w:rFonts w:ascii="Arial" w:hAnsi="Arial" w:cs="Arial"/>
          <w:color w:val="000000"/>
          <w:sz w:val="22"/>
          <w:szCs w:val="22"/>
        </w:rPr>
        <w:t>id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not show effects in the same direction.</w:t>
      </w:r>
      <w:r w:rsidRPr="006F011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61AE2AE3" w14:textId="3D992F2C" w:rsidR="00C005EE" w:rsidRPr="006F011E" w:rsidRDefault="00C005EE" w:rsidP="00C005EE">
      <w:pPr>
        <w:pStyle w:val="NormalWeb"/>
        <w:numPr>
          <w:ilvl w:val="0"/>
          <w:numId w:val="1"/>
        </w:numPr>
        <w:spacing w:before="0" w:beforeAutospacing="0" w:after="150" w:afterAutospacing="0"/>
        <w:ind w:left="375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Indirectness: we downgrade</w:t>
      </w:r>
      <w:r w:rsidR="00976F2B">
        <w:rPr>
          <w:rFonts w:ascii="Arial" w:hAnsi="Arial" w:cs="Arial"/>
          <w:color w:val="000000"/>
          <w:sz w:val="22"/>
          <w:szCs w:val="22"/>
        </w:rPr>
        <w:t>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once if more than 50% of the participants </w:t>
      </w:r>
      <w:r w:rsidR="00976F2B">
        <w:rPr>
          <w:rFonts w:ascii="Arial" w:hAnsi="Arial" w:cs="Arial"/>
          <w:color w:val="000000"/>
          <w:sz w:val="22"/>
          <w:szCs w:val="22"/>
        </w:rPr>
        <w:t>wer</w:t>
      </w:r>
      <w:r w:rsidRPr="006F011E">
        <w:rPr>
          <w:rFonts w:ascii="Arial" w:hAnsi="Arial" w:cs="Arial"/>
          <w:color w:val="000000"/>
          <w:sz w:val="22"/>
          <w:szCs w:val="22"/>
        </w:rPr>
        <w:t>e outside the target group.</w:t>
      </w:r>
      <w:r w:rsidRPr="006F011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1B02253" w14:textId="7F3F8529" w:rsidR="00C005EE" w:rsidRPr="006F011E" w:rsidRDefault="00C005EE" w:rsidP="00C005EE">
      <w:pPr>
        <w:pStyle w:val="NormalWeb"/>
        <w:numPr>
          <w:ilvl w:val="0"/>
          <w:numId w:val="1"/>
        </w:numPr>
        <w:spacing w:before="0" w:beforeAutospacing="0" w:after="150" w:afterAutospacing="0"/>
        <w:ind w:left="375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Imprecision: we downgrade</w:t>
      </w:r>
      <w:r w:rsidR="00976F2B">
        <w:rPr>
          <w:rFonts w:ascii="Arial" w:hAnsi="Arial" w:cs="Arial"/>
          <w:color w:val="000000"/>
          <w:sz w:val="22"/>
          <w:szCs w:val="22"/>
        </w:rPr>
        <w:t>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once if there </w:t>
      </w:r>
      <w:r w:rsidR="00950D8D">
        <w:rPr>
          <w:rFonts w:ascii="Arial" w:hAnsi="Arial" w:cs="Arial"/>
          <w:color w:val="000000"/>
          <w:sz w:val="22"/>
          <w:szCs w:val="22"/>
        </w:rPr>
        <w:t>we</w:t>
      </w:r>
      <w:r w:rsidRPr="006F011E">
        <w:rPr>
          <w:rFonts w:ascii="Arial" w:hAnsi="Arial" w:cs="Arial"/>
          <w:color w:val="000000"/>
          <w:sz w:val="22"/>
          <w:szCs w:val="22"/>
        </w:rPr>
        <w:t>re fewer than 400 participants for continuous data and fewer than 300 events for dichotomous data.</w:t>
      </w:r>
      <w:r w:rsidRPr="006F011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0D21BE85" w14:textId="5FFC8D62" w:rsidR="00C005EE" w:rsidRPr="006F011E" w:rsidRDefault="00C005EE" w:rsidP="00C005EE">
      <w:pPr>
        <w:pStyle w:val="NormalWeb"/>
        <w:numPr>
          <w:ilvl w:val="0"/>
          <w:numId w:val="1"/>
        </w:numPr>
        <w:spacing w:before="0" w:beforeAutospacing="0" w:after="150" w:afterAutospacing="0"/>
        <w:ind w:left="375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>Publication bias: we downgrade</w:t>
      </w:r>
      <w:r w:rsidR="00976F2B">
        <w:rPr>
          <w:rFonts w:ascii="Arial" w:hAnsi="Arial" w:cs="Arial"/>
          <w:color w:val="000000"/>
          <w:sz w:val="22"/>
          <w:szCs w:val="22"/>
        </w:rPr>
        <w:t>d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once where there </w:t>
      </w:r>
      <w:r w:rsidR="00976F2B">
        <w:rPr>
          <w:rFonts w:ascii="Arial" w:hAnsi="Arial" w:cs="Arial"/>
          <w:color w:val="000000"/>
          <w:sz w:val="22"/>
          <w:szCs w:val="22"/>
        </w:rPr>
        <w:t>wa</w:t>
      </w:r>
      <w:r w:rsidRPr="006F011E">
        <w:rPr>
          <w:rFonts w:ascii="Arial" w:hAnsi="Arial" w:cs="Arial"/>
          <w:color w:val="000000"/>
          <w:sz w:val="22"/>
          <w:szCs w:val="22"/>
        </w:rPr>
        <w:t>s direct evidence of publication bias</w:t>
      </w:r>
      <w:r w:rsidRPr="006F011E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14:paraId="6296AB3D" w14:textId="337A9CB6" w:rsidR="00C005EE" w:rsidRPr="006F011E" w:rsidRDefault="00C005EE" w:rsidP="00C005EE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6F011E">
        <w:rPr>
          <w:rFonts w:ascii="Arial" w:hAnsi="Arial" w:cs="Arial"/>
          <w:color w:val="000000"/>
          <w:sz w:val="22"/>
          <w:szCs w:val="22"/>
        </w:rPr>
        <w:t xml:space="preserve">We will consider single studies to be inconsistent and imprecise, unless more than 400 participants </w:t>
      </w:r>
      <w:r w:rsidR="0062345E">
        <w:rPr>
          <w:rFonts w:ascii="Arial" w:hAnsi="Arial" w:cs="Arial"/>
          <w:color w:val="000000"/>
          <w:sz w:val="22"/>
          <w:szCs w:val="22"/>
        </w:rPr>
        <w:t>were</w:t>
      </w:r>
      <w:r w:rsidRPr="006F011E">
        <w:rPr>
          <w:rFonts w:ascii="Arial" w:hAnsi="Arial" w:cs="Arial"/>
          <w:color w:val="000000"/>
          <w:sz w:val="22"/>
          <w:szCs w:val="22"/>
        </w:rPr>
        <w:t xml:space="preserve"> randomised for continuous outcomes or more than 300 for dichotomous outcomes. </w:t>
      </w:r>
    </w:p>
    <w:p w14:paraId="5BC6B2B4" w14:textId="13C51812" w:rsidR="004F6175" w:rsidRPr="001D1846" w:rsidRDefault="001D18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Foroutan F, </w:t>
      </w:r>
      <w:proofErr w:type="spellStart"/>
      <w:r>
        <w:rPr>
          <w:rFonts w:ascii="Arial" w:hAnsi="Arial" w:cs="Arial"/>
          <w:sz w:val="22"/>
          <w:szCs w:val="22"/>
        </w:rPr>
        <w:t>Guyatt</w:t>
      </w:r>
      <w:proofErr w:type="spellEnd"/>
      <w:r>
        <w:rPr>
          <w:rFonts w:ascii="Arial" w:hAnsi="Arial" w:cs="Arial"/>
          <w:sz w:val="22"/>
          <w:szCs w:val="22"/>
        </w:rPr>
        <w:t xml:space="preserve"> G, </w:t>
      </w:r>
      <w:proofErr w:type="spellStart"/>
      <w:r>
        <w:rPr>
          <w:rFonts w:ascii="Arial" w:hAnsi="Arial" w:cs="Arial"/>
          <w:sz w:val="22"/>
          <w:szCs w:val="22"/>
        </w:rPr>
        <w:t>Zuk</w:t>
      </w:r>
      <w:proofErr w:type="spellEnd"/>
      <w:r>
        <w:rPr>
          <w:rFonts w:ascii="Arial" w:hAnsi="Arial" w:cs="Arial"/>
          <w:sz w:val="22"/>
          <w:szCs w:val="22"/>
        </w:rPr>
        <w:t xml:space="preserve"> V, </w:t>
      </w:r>
      <w:proofErr w:type="spellStart"/>
      <w:r>
        <w:rPr>
          <w:rFonts w:ascii="Arial" w:hAnsi="Arial" w:cs="Arial"/>
          <w:sz w:val="22"/>
          <w:szCs w:val="22"/>
        </w:rPr>
        <w:t>Vandvik</w:t>
      </w:r>
      <w:proofErr w:type="spellEnd"/>
      <w:r>
        <w:rPr>
          <w:rFonts w:ascii="Arial" w:hAnsi="Arial" w:cs="Arial"/>
          <w:sz w:val="22"/>
          <w:szCs w:val="22"/>
        </w:rPr>
        <w:t xml:space="preserve"> PO, Alba AC, Mustafa R</w:t>
      </w:r>
      <w:r w:rsidR="00A26665">
        <w:rPr>
          <w:rFonts w:ascii="Arial" w:hAnsi="Arial" w:cs="Arial"/>
          <w:sz w:val="22"/>
          <w:szCs w:val="22"/>
        </w:rPr>
        <w:t xml:space="preserve"> et al. GRADE Guidelines 28: Use of GRADE for the assessment of evidence about prognostic factors: rating certainty in identification of groups of patients with different absolute risks. </w:t>
      </w:r>
      <w:r w:rsidR="00E868C1" w:rsidRPr="006F011E">
        <w:rPr>
          <w:rFonts w:ascii="Arial" w:hAnsi="Arial" w:cs="Arial"/>
          <w:sz w:val="22"/>
          <w:szCs w:val="22"/>
        </w:rPr>
        <w:t xml:space="preserve">J </w:t>
      </w:r>
      <w:proofErr w:type="spellStart"/>
      <w:r w:rsidR="00E868C1" w:rsidRPr="006F011E">
        <w:rPr>
          <w:rFonts w:ascii="Arial" w:hAnsi="Arial" w:cs="Arial"/>
          <w:sz w:val="22"/>
          <w:szCs w:val="22"/>
        </w:rPr>
        <w:t>Clin</w:t>
      </w:r>
      <w:proofErr w:type="spellEnd"/>
      <w:r w:rsidR="00E868C1" w:rsidRPr="006F011E">
        <w:rPr>
          <w:rFonts w:ascii="Arial" w:hAnsi="Arial" w:cs="Arial"/>
          <w:sz w:val="22"/>
          <w:szCs w:val="22"/>
        </w:rPr>
        <w:t xml:space="preserve"> Epidemiol 202</w:t>
      </w:r>
      <w:r w:rsidR="00E868C1">
        <w:rPr>
          <w:rFonts w:ascii="Arial" w:hAnsi="Arial" w:cs="Arial"/>
          <w:sz w:val="22"/>
          <w:szCs w:val="22"/>
        </w:rPr>
        <w:t>0</w:t>
      </w:r>
      <w:r w:rsidR="00E868C1" w:rsidRPr="006F011E">
        <w:rPr>
          <w:rFonts w:ascii="Arial" w:hAnsi="Arial" w:cs="Arial"/>
          <w:sz w:val="22"/>
          <w:szCs w:val="22"/>
        </w:rPr>
        <w:t>;1</w:t>
      </w:r>
      <w:r w:rsidR="006038C3">
        <w:rPr>
          <w:rFonts w:ascii="Arial" w:hAnsi="Arial" w:cs="Arial"/>
          <w:sz w:val="22"/>
          <w:szCs w:val="22"/>
        </w:rPr>
        <w:t>21</w:t>
      </w:r>
      <w:r w:rsidR="00E868C1" w:rsidRPr="006F011E">
        <w:rPr>
          <w:rFonts w:ascii="Arial" w:hAnsi="Arial" w:cs="Arial"/>
          <w:sz w:val="22"/>
          <w:szCs w:val="22"/>
        </w:rPr>
        <w:t>:</w:t>
      </w:r>
      <w:r w:rsidR="006038C3">
        <w:rPr>
          <w:rFonts w:ascii="Arial" w:hAnsi="Arial" w:cs="Arial"/>
          <w:sz w:val="22"/>
          <w:szCs w:val="22"/>
        </w:rPr>
        <w:t>62-70</w:t>
      </w:r>
      <w:bookmarkStart w:id="0" w:name="_GoBack"/>
      <w:bookmarkEnd w:id="0"/>
      <w:r w:rsidR="00E868C1" w:rsidRPr="006F011E">
        <w:rPr>
          <w:rFonts w:ascii="Arial" w:hAnsi="Arial" w:cs="Arial"/>
          <w:sz w:val="22"/>
          <w:szCs w:val="22"/>
        </w:rPr>
        <w:t>.</w:t>
      </w:r>
    </w:p>
    <w:p w14:paraId="330F5F30" w14:textId="2197E8B2" w:rsidR="00E574A3" w:rsidRPr="006F011E" w:rsidRDefault="004A2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 w:rsidR="009825CE" w:rsidRPr="006F011E">
        <w:rPr>
          <w:rFonts w:ascii="Arial" w:hAnsi="Arial" w:cs="Arial"/>
          <w:sz w:val="22"/>
          <w:szCs w:val="22"/>
        </w:rPr>
        <w:t xml:space="preserve">Yang B, Mustafa RA, </w:t>
      </w:r>
      <w:proofErr w:type="spellStart"/>
      <w:r w:rsidR="009825CE" w:rsidRPr="006F011E">
        <w:rPr>
          <w:rFonts w:ascii="Arial" w:hAnsi="Arial" w:cs="Arial"/>
          <w:sz w:val="22"/>
          <w:szCs w:val="22"/>
        </w:rPr>
        <w:t>Bossuyt</w:t>
      </w:r>
      <w:proofErr w:type="spellEnd"/>
      <w:r w:rsidR="009825CE" w:rsidRPr="006F011E">
        <w:rPr>
          <w:rFonts w:ascii="Arial" w:hAnsi="Arial" w:cs="Arial"/>
          <w:sz w:val="22"/>
          <w:szCs w:val="22"/>
        </w:rPr>
        <w:t xml:space="preserve"> PM, </w:t>
      </w:r>
      <w:proofErr w:type="spellStart"/>
      <w:r w:rsidR="009825CE" w:rsidRPr="006F011E">
        <w:rPr>
          <w:rFonts w:ascii="Arial" w:hAnsi="Arial" w:cs="Arial"/>
          <w:sz w:val="22"/>
          <w:szCs w:val="22"/>
        </w:rPr>
        <w:t>Brozek</w:t>
      </w:r>
      <w:proofErr w:type="spellEnd"/>
      <w:r w:rsidR="009825CE" w:rsidRPr="006F011E">
        <w:rPr>
          <w:rFonts w:ascii="Arial" w:hAnsi="Arial" w:cs="Arial"/>
          <w:sz w:val="22"/>
          <w:szCs w:val="22"/>
        </w:rPr>
        <w:t xml:space="preserve"> J, </w:t>
      </w:r>
      <w:proofErr w:type="spellStart"/>
      <w:r w:rsidR="009825CE" w:rsidRPr="006F011E">
        <w:rPr>
          <w:rFonts w:ascii="Arial" w:hAnsi="Arial" w:cs="Arial"/>
          <w:sz w:val="22"/>
          <w:szCs w:val="22"/>
        </w:rPr>
        <w:t>Hultcrantx</w:t>
      </w:r>
      <w:proofErr w:type="spellEnd"/>
      <w:r w:rsidR="009825CE" w:rsidRPr="006F011E">
        <w:rPr>
          <w:rFonts w:ascii="Arial" w:hAnsi="Arial" w:cs="Arial"/>
          <w:sz w:val="22"/>
          <w:szCs w:val="22"/>
        </w:rPr>
        <w:t xml:space="preserve"> M, </w:t>
      </w:r>
      <w:proofErr w:type="spellStart"/>
      <w:r w:rsidR="009825CE" w:rsidRPr="006F011E">
        <w:rPr>
          <w:rFonts w:ascii="Arial" w:hAnsi="Arial" w:cs="Arial"/>
          <w:sz w:val="22"/>
          <w:szCs w:val="22"/>
        </w:rPr>
        <w:t>Leeflang</w:t>
      </w:r>
      <w:proofErr w:type="spellEnd"/>
      <w:r w:rsidR="009825CE" w:rsidRPr="006F011E">
        <w:rPr>
          <w:rFonts w:ascii="Arial" w:hAnsi="Arial" w:cs="Arial"/>
          <w:sz w:val="22"/>
          <w:szCs w:val="22"/>
        </w:rPr>
        <w:t xml:space="preserve"> MMG et al. GRADE Guidance: 31. Assessing the certainty across a body of evidence for comparative test accuracy. </w:t>
      </w:r>
      <w:r w:rsidR="003A13C1" w:rsidRPr="006F011E">
        <w:rPr>
          <w:rFonts w:ascii="Arial" w:hAnsi="Arial" w:cs="Arial"/>
          <w:sz w:val="22"/>
          <w:szCs w:val="22"/>
        </w:rPr>
        <w:t xml:space="preserve">J </w:t>
      </w:r>
      <w:proofErr w:type="spellStart"/>
      <w:r w:rsidR="003A13C1" w:rsidRPr="006F011E">
        <w:rPr>
          <w:rFonts w:ascii="Arial" w:hAnsi="Arial" w:cs="Arial"/>
          <w:sz w:val="22"/>
          <w:szCs w:val="22"/>
        </w:rPr>
        <w:t>Clin</w:t>
      </w:r>
      <w:proofErr w:type="spellEnd"/>
      <w:r w:rsidR="003A13C1" w:rsidRPr="006F011E">
        <w:rPr>
          <w:rFonts w:ascii="Arial" w:hAnsi="Arial" w:cs="Arial"/>
          <w:sz w:val="22"/>
          <w:szCs w:val="22"/>
        </w:rPr>
        <w:t xml:space="preserve"> Epidemiol </w:t>
      </w:r>
      <w:proofErr w:type="gramStart"/>
      <w:r w:rsidR="003A13C1" w:rsidRPr="006F011E">
        <w:rPr>
          <w:rFonts w:ascii="Arial" w:hAnsi="Arial" w:cs="Arial"/>
          <w:sz w:val="22"/>
          <w:szCs w:val="22"/>
        </w:rPr>
        <w:t>2021;136:146</w:t>
      </w:r>
      <w:proofErr w:type="gramEnd"/>
      <w:r w:rsidR="003A13C1" w:rsidRPr="006F011E">
        <w:rPr>
          <w:rFonts w:ascii="Arial" w:hAnsi="Arial" w:cs="Arial"/>
          <w:sz w:val="22"/>
          <w:szCs w:val="22"/>
        </w:rPr>
        <w:t>-156.</w:t>
      </w:r>
    </w:p>
    <w:sectPr w:rsidR="00E574A3" w:rsidRPr="006F011E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3DA5"/>
    <w:multiLevelType w:val="multilevel"/>
    <w:tmpl w:val="5F58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EE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7133D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5926"/>
    <w:rsid w:val="00176455"/>
    <w:rsid w:val="001A15F2"/>
    <w:rsid w:val="001A6C52"/>
    <w:rsid w:val="001C47E3"/>
    <w:rsid w:val="001C4BE6"/>
    <w:rsid w:val="001D1846"/>
    <w:rsid w:val="001D7141"/>
    <w:rsid w:val="001E506B"/>
    <w:rsid w:val="001F5171"/>
    <w:rsid w:val="001F7FB9"/>
    <w:rsid w:val="00225055"/>
    <w:rsid w:val="002510B1"/>
    <w:rsid w:val="00251781"/>
    <w:rsid w:val="00261ADE"/>
    <w:rsid w:val="00274BD7"/>
    <w:rsid w:val="002804F5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67270"/>
    <w:rsid w:val="00387DB2"/>
    <w:rsid w:val="00391D46"/>
    <w:rsid w:val="0039649D"/>
    <w:rsid w:val="00397AF2"/>
    <w:rsid w:val="003A13C1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73089"/>
    <w:rsid w:val="004741B1"/>
    <w:rsid w:val="0047516E"/>
    <w:rsid w:val="004850A8"/>
    <w:rsid w:val="0049077E"/>
    <w:rsid w:val="004A098C"/>
    <w:rsid w:val="004A10AC"/>
    <w:rsid w:val="004A2839"/>
    <w:rsid w:val="004B5663"/>
    <w:rsid w:val="004E61FB"/>
    <w:rsid w:val="004F6175"/>
    <w:rsid w:val="00542006"/>
    <w:rsid w:val="00544982"/>
    <w:rsid w:val="00550A8C"/>
    <w:rsid w:val="00556415"/>
    <w:rsid w:val="00556CBE"/>
    <w:rsid w:val="005578C1"/>
    <w:rsid w:val="00577585"/>
    <w:rsid w:val="00596A17"/>
    <w:rsid w:val="005A1144"/>
    <w:rsid w:val="005A2D1F"/>
    <w:rsid w:val="005B4242"/>
    <w:rsid w:val="005E3EDA"/>
    <w:rsid w:val="006038C3"/>
    <w:rsid w:val="00616CBE"/>
    <w:rsid w:val="0062345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011E"/>
    <w:rsid w:val="006F2B11"/>
    <w:rsid w:val="006F568B"/>
    <w:rsid w:val="00716FE4"/>
    <w:rsid w:val="007251E2"/>
    <w:rsid w:val="007253C4"/>
    <w:rsid w:val="00742F77"/>
    <w:rsid w:val="00746EC8"/>
    <w:rsid w:val="0075328D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577F2"/>
    <w:rsid w:val="0086014D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32FC"/>
    <w:rsid w:val="00904C98"/>
    <w:rsid w:val="00907881"/>
    <w:rsid w:val="0091066C"/>
    <w:rsid w:val="00911BCC"/>
    <w:rsid w:val="00945BE4"/>
    <w:rsid w:val="00950D8D"/>
    <w:rsid w:val="00976F2B"/>
    <w:rsid w:val="0098184F"/>
    <w:rsid w:val="009825CE"/>
    <w:rsid w:val="00983A2B"/>
    <w:rsid w:val="0099006C"/>
    <w:rsid w:val="0099305A"/>
    <w:rsid w:val="0099405D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26665"/>
    <w:rsid w:val="00A33D9A"/>
    <w:rsid w:val="00A36349"/>
    <w:rsid w:val="00A41EE5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05EE"/>
    <w:rsid w:val="00C03D68"/>
    <w:rsid w:val="00C062AB"/>
    <w:rsid w:val="00C12C0B"/>
    <w:rsid w:val="00C1590F"/>
    <w:rsid w:val="00C34014"/>
    <w:rsid w:val="00C43687"/>
    <w:rsid w:val="00C4666C"/>
    <w:rsid w:val="00C510FF"/>
    <w:rsid w:val="00C62B31"/>
    <w:rsid w:val="00C71FC9"/>
    <w:rsid w:val="00C80B5D"/>
    <w:rsid w:val="00C90555"/>
    <w:rsid w:val="00C93A6B"/>
    <w:rsid w:val="00CA271E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868C1"/>
    <w:rsid w:val="00E902D9"/>
    <w:rsid w:val="00EA34B4"/>
    <w:rsid w:val="00EB4242"/>
    <w:rsid w:val="00EC4332"/>
    <w:rsid w:val="00ED0023"/>
    <w:rsid w:val="00ED0298"/>
    <w:rsid w:val="00ED5706"/>
    <w:rsid w:val="00ED7F8C"/>
    <w:rsid w:val="00EE1935"/>
    <w:rsid w:val="00EF2E61"/>
    <w:rsid w:val="00F06985"/>
    <w:rsid w:val="00F117E7"/>
    <w:rsid w:val="00F23EBD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E5A35"/>
  <w14:defaultImageDpi w14:val="32767"/>
  <w15:chartTrackingRefBased/>
  <w15:docId w15:val="{1290F7A9-F3E1-8345-AA2F-9C85316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5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customStyle="1" w:styleId="apple-converted-space">
    <w:name w:val="apple-converted-space"/>
    <w:basedOn w:val="DefaultParagraphFont"/>
    <w:rsid w:val="00C005EE"/>
  </w:style>
  <w:style w:type="character" w:styleId="CommentReference">
    <w:name w:val="annotation reference"/>
    <w:basedOn w:val="DefaultParagraphFont"/>
    <w:uiPriority w:val="99"/>
    <w:semiHidden/>
    <w:unhideWhenUsed/>
    <w:rsid w:val="00C4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66C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66C"/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6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6C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4B4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4B4"/>
    <w:rPr>
      <w:rFonts w:ascii="Times New Roman" w:eastAsia="Times New Roman" w:hAnsi="Times New Roman" w:cs="Times New Roman"/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FB78D70E-34F7-47FE-8275-86814695B497}"/>
</file>

<file path=customXml/itemProps2.xml><?xml version="1.0" encoding="utf-8"?>
<ds:datastoreItem xmlns:ds="http://schemas.openxmlformats.org/officeDocument/2006/customXml" ds:itemID="{2DF07CBE-BBB8-479E-88AD-E1212E6A252E}"/>
</file>

<file path=customXml/itemProps3.xml><?xml version="1.0" encoding="utf-8"?>
<ds:datastoreItem xmlns:ds="http://schemas.openxmlformats.org/officeDocument/2006/customXml" ds:itemID="{E9AE3FB4-AECC-4349-B316-297F6358E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Jennifer Ryan</cp:lastModifiedBy>
  <cp:revision>29</cp:revision>
  <dcterms:created xsi:type="dcterms:W3CDTF">2024-05-14T20:37:00Z</dcterms:created>
  <dcterms:modified xsi:type="dcterms:W3CDTF">2024-06-24T15:14:00Z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